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10.09.2021 N 565-п</w:t>
              <w:br/>
              <w:t xml:space="preserve">(ред. от 09.10.2023)</w:t>
              <w:br/>
              <w:t xml:space="preserve">"Об утверждении порядка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w:t>
              <w:br/>
              <w:t xml:space="preserve">(с изм. и доп., вступающими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10 сентября 2021 г. N 565-п</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СУБЪЕКТАМ МАЛОГО И СРЕДНЕГО ПРЕДПРИНИМАТЕЛЬСТВА,</w:t>
      </w:r>
    </w:p>
    <w:p>
      <w:pPr>
        <w:pStyle w:val="2"/>
        <w:jc w:val="center"/>
      </w:pPr>
      <w:r>
        <w:rPr>
          <w:sz w:val="20"/>
        </w:rPr>
        <w:t xml:space="preserve">ОСУЩЕСТВЛЯЮЩИМ ДЕЯТЕЛЬНОСТЬ В СФЕРЕ СОЦИАЛЬНОГО</w:t>
      </w:r>
    </w:p>
    <w:p>
      <w:pPr>
        <w:pStyle w:val="2"/>
        <w:jc w:val="center"/>
      </w:pPr>
      <w:r>
        <w:rPr>
          <w:sz w:val="20"/>
        </w:rPr>
        <w:t xml:space="preserve">ПРЕДПРИНИМАТЕЛЬСТВА, И (ИЛИ) СУБЪЕКТАМ МАЛОГО И СРЕДНЕГО</w:t>
      </w:r>
    </w:p>
    <w:p>
      <w:pPr>
        <w:pStyle w:val="2"/>
        <w:jc w:val="center"/>
      </w:pPr>
      <w:r>
        <w:rPr>
          <w:sz w:val="20"/>
        </w:rPr>
        <w:t xml:space="preserve">ПРЕДПРИНИМАТЕЛЬСТВА, СОЗДАННЫМ ФИЗИЧЕСКИМИ ЛИЦАМИ</w:t>
      </w:r>
    </w:p>
    <w:p>
      <w:pPr>
        <w:pStyle w:val="2"/>
        <w:jc w:val="center"/>
      </w:pPr>
      <w:r>
        <w:rPr>
          <w:sz w:val="20"/>
        </w:rPr>
        <w:t xml:space="preserve">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w:t>
            </w:r>
          </w:p>
          <w:p>
            <w:pPr>
              <w:pStyle w:val="0"/>
              <w:jc w:val="center"/>
            </w:pPr>
            <w:r>
              <w:rPr>
                <w:sz w:val="20"/>
                <w:color w:val="392c69"/>
              </w:rPr>
              <w:t xml:space="preserve">от 10.12.2021 </w:t>
            </w:r>
            <w:hyperlink w:history="0" r:id="rId7"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N 816-п</w:t>
              </w:r>
            </w:hyperlink>
            <w:r>
              <w:rPr>
                <w:sz w:val="20"/>
                <w:color w:val="392c69"/>
              </w:rPr>
              <w:t xml:space="preserve"> (ред. 09.10.2023), от 04.03.2022 </w:t>
            </w:r>
            <w:hyperlink w:history="0" r:id="rId8"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N 107-п</w:t>
              </w:r>
            </w:hyperlink>
            <w:r>
              <w:rPr>
                <w:sz w:val="20"/>
                <w:color w:val="392c69"/>
              </w:rPr>
              <w:t xml:space="preserve">,</w:t>
            </w:r>
          </w:p>
          <w:p>
            <w:pPr>
              <w:pStyle w:val="0"/>
              <w:jc w:val="center"/>
            </w:pPr>
            <w:r>
              <w:rPr>
                <w:sz w:val="20"/>
                <w:color w:val="392c69"/>
              </w:rPr>
              <w:t xml:space="preserve">от 20.06.2022 </w:t>
            </w:r>
            <w:hyperlink w:history="0" r:id="rId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color w:val="392c69"/>
              </w:rPr>
              <w:t xml:space="preserve">, от 20.12.2022 </w:t>
            </w:r>
            <w:hyperlink w:history="0" r:id="rId10"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 от 09.10.2023 </w:t>
            </w:r>
            <w:hyperlink w:history="0" r:id="rId1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w:history="0" r:id="rId14" w:tooltip="Постановление Правительства Тюменской области от 14.12.2018 N 511-п (ред. от 22.12.2023) &quot;Об утверждении государственной программы Тюменской области &quot;Развитие малого и среднего предпринимательства и научно-инновационной сферы&quot; и признании утратившими силу некоторых нормативных правовых актов&quot; (с изм. и доп., вступающими в силу с 01.01.2024) {КонсультантПлюс}">
        <w:r>
          <w:rPr>
            <w:sz w:val="20"/>
            <w:color w:val="0000ff"/>
          </w:rPr>
          <w:t xml:space="preserve">программы</w:t>
        </w:r>
      </w:hyperlink>
      <w:r>
        <w:rPr>
          <w:sz w:val="20"/>
        </w:rP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"Об утверждении государственной программы Тюменской области "Развитие малого и среднего предпринимательства и научно-инновационной сферы" и признании утратившими силу некоторых нормативных правовых актов":</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согласно приложению к настоящему постановлению.</w:t>
      </w:r>
    </w:p>
    <w:p>
      <w:pPr>
        <w:pStyle w:val="0"/>
        <w:jc w:val="both"/>
      </w:pPr>
      <w:r>
        <w:rPr>
          <w:sz w:val="20"/>
        </w:rPr>
        <w:t xml:space="preserve">(в ред. постановлений Правительства Тюменской области от 20.06.2022 </w:t>
      </w:r>
      <w:hyperlink w:history="0" r:id="rId15"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20.12.2022 </w:t>
      </w:r>
      <w:hyperlink w:history="0" r:id="rId16"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rPr>
        <w:t xml:space="preserve">)</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pPr>
        <w:pStyle w:val="0"/>
        <w:jc w:val="both"/>
      </w:pPr>
      <w:r>
        <w:rPr>
          <w:sz w:val="20"/>
        </w:rPr>
        <w:t xml:space="preserve">(в ред. </w:t>
      </w:r>
      <w:hyperlink w:history="0" r:id="rId1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10 сентября 2021 г. N 565-п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ГРАНТОВ В ФОРМЕ СУБСИДИЙ</w:t>
      </w:r>
    </w:p>
    <w:p>
      <w:pPr>
        <w:pStyle w:val="2"/>
        <w:jc w:val="center"/>
      </w:pPr>
      <w:r>
        <w:rPr>
          <w:sz w:val="20"/>
        </w:rPr>
        <w:t xml:space="preserve">СУБЪЕКТАМ МАЛОГО И СРЕДНЕГО ПРЕДПРИНИМАТЕЛЬСТВА,</w:t>
      </w:r>
    </w:p>
    <w:p>
      <w:pPr>
        <w:pStyle w:val="2"/>
        <w:jc w:val="center"/>
      </w:pPr>
      <w:r>
        <w:rPr>
          <w:sz w:val="20"/>
        </w:rPr>
        <w:t xml:space="preserve">ОСУЩЕСТВЛЯЮЩИМ ДЕЯТЕЛЬНОСТЬ В СФЕРЕ СОЦИАЛЬНОГО</w:t>
      </w:r>
    </w:p>
    <w:p>
      <w:pPr>
        <w:pStyle w:val="2"/>
        <w:jc w:val="center"/>
      </w:pPr>
      <w:r>
        <w:rPr>
          <w:sz w:val="20"/>
        </w:rPr>
        <w:t xml:space="preserve">ПРЕДПРИНИМАТЕЛЬСТВА, И (ИЛИ) СУБЪЕКТАМ МАЛОГО И СРЕДНЕГО</w:t>
      </w:r>
    </w:p>
    <w:p>
      <w:pPr>
        <w:pStyle w:val="2"/>
        <w:jc w:val="center"/>
      </w:pPr>
      <w:r>
        <w:rPr>
          <w:sz w:val="20"/>
        </w:rPr>
        <w:t xml:space="preserve">ПРЕДПРИНИМАТЕЛЬСТВА, СОЗДАННЫМ ФИЗИЧЕСКИМИ ЛИЦАМИ</w:t>
      </w:r>
    </w:p>
    <w:p>
      <w:pPr>
        <w:pStyle w:val="2"/>
        <w:jc w:val="center"/>
      </w:pPr>
      <w:r>
        <w:rPr>
          <w:sz w:val="20"/>
        </w:rPr>
        <w:t xml:space="preserve">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w:t>
            </w:r>
          </w:p>
          <w:p>
            <w:pPr>
              <w:pStyle w:val="0"/>
              <w:jc w:val="center"/>
            </w:pPr>
            <w:r>
              <w:rPr>
                <w:sz w:val="20"/>
                <w:color w:val="392c69"/>
              </w:rPr>
              <w:t xml:space="preserve">от 10.12.2021 </w:t>
            </w:r>
            <w:hyperlink w:history="0" r:id="rId18"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N 816-п</w:t>
              </w:r>
            </w:hyperlink>
            <w:r>
              <w:rPr>
                <w:sz w:val="20"/>
                <w:color w:val="392c69"/>
              </w:rPr>
              <w:t xml:space="preserve"> (ред. 09.10.2023), от 04.03.2022 </w:t>
            </w:r>
            <w:hyperlink w:history="0" r:id="rId19"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N 107-п</w:t>
              </w:r>
            </w:hyperlink>
            <w:r>
              <w:rPr>
                <w:sz w:val="20"/>
                <w:color w:val="392c69"/>
              </w:rPr>
              <w:t xml:space="preserve">,</w:t>
            </w:r>
          </w:p>
          <w:p>
            <w:pPr>
              <w:pStyle w:val="0"/>
              <w:jc w:val="center"/>
            </w:pPr>
            <w:r>
              <w:rPr>
                <w:sz w:val="20"/>
                <w:color w:val="392c69"/>
              </w:rPr>
              <w:t xml:space="preserve">от 20.06.2022 </w:t>
            </w:r>
            <w:hyperlink w:history="0" r:id="rId2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color w:val="392c69"/>
              </w:rPr>
              <w:t xml:space="preserve">, от 20.12.2022 </w:t>
            </w:r>
            <w:hyperlink w:history="0" r:id="rId21"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 от 09.10.2023 </w:t>
            </w:r>
            <w:hyperlink w:history="0" r:id="rId2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грантов</w:t>
      </w:r>
    </w:p>
    <w:p>
      <w:pPr>
        <w:pStyle w:val="0"/>
        <w:jc w:val="center"/>
      </w:pPr>
      <w:r>
        <w:rPr>
          <w:sz w:val="20"/>
        </w:rPr>
        <w:t xml:space="preserve">(в ред. </w:t>
      </w:r>
      <w:hyperlink w:history="0" r:id="rId2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09.10.2023 N 653-п)</w:t>
      </w:r>
    </w:p>
    <w:p>
      <w:pPr>
        <w:pStyle w:val="0"/>
        <w:jc w:val="both"/>
      </w:pPr>
      <w:r>
        <w:rPr>
          <w:sz w:val="20"/>
        </w:rPr>
      </w:r>
    </w:p>
    <w:p>
      <w:pPr>
        <w:pStyle w:val="0"/>
        <w:ind w:firstLine="540"/>
        <w:jc w:val="both"/>
      </w:pPr>
      <w:r>
        <w:rPr>
          <w:sz w:val="20"/>
        </w:rPr>
        <w:t xml:space="preserve">1.1. Порядок предоставления грантов в форме субсидий (далее - грант) субъектам малого и среднего предпринимательства, осуществляющим деятельность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(далее - Порядок) разработан в соответствии со </w:t>
      </w:r>
      <w:hyperlink w:history="0" r:id="rId24"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78</w:t>
        </w:r>
      </w:hyperlink>
      <w:r>
        <w:rPr>
          <w:sz w:val="20"/>
        </w:rPr>
        <w:t xml:space="preserve"> Бюджетного кодекса Российской Федерации, Федеральным </w:t>
      </w:r>
      <w:hyperlink w:history="0" r:id="rId2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(далее - Федеральный закон N 209-ФЗ),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7" w:tooltip="Закон Тюменской области от 05.05.2008 N 18 (ред. от 26.09.2023) &quot;О развитии малого и среднего предпринимательства в Тюменской области&quot; (принят Тюменской областной Думой 24.04.2008) {КонсультантПлюс}">
        <w:r>
          <w:rPr>
            <w:sz w:val="20"/>
            <w:color w:val="0000ff"/>
          </w:rPr>
          <w:t xml:space="preserve">Законом</w:t>
        </w:r>
      </w:hyperlink>
      <w:r>
        <w:rPr>
          <w:sz w:val="20"/>
        </w:rPr>
        <w:t xml:space="preserve"> Тюменской области от 05.05.2008 N 18 "О развитии малого и среднего предпринимательства в Тюменской области" (далее - Закон Тюменской области N 18), </w:t>
      </w:r>
      <w:hyperlink w:history="0" r:id="rId28"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приказом</w:t>
        </w:r>
      </w:hyperlink>
      <w:r>
        <w:rPr>
          <w:sz w:val="20"/>
        </w:rPr>
        <w:t xml:space="preserve">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N 142), и определяет цели, условия и порядок предоставления гранта за счет средств областного бюджета Тюменской области, в том числе средств областного бюджета Тюменской области, источником финансового обеспечения которых являются субсидии из федерального бюджета, в рамках реализации соответствующего мероприятия государственной </w:t>
      </w:r>
      <w:hyperlink w:history="0" r:id="rId29" w:tooltip="Постановление Правительства Тюменской области от 14.12.2018 N 511-п (ред. от 22.12.2023) &quot;Об утверждении государственной программы Тюменской области &quot;Развитие малого и среднего предпринимательства и научно-инновационной сферы&quot; и признании утратившими силу некоторых нормативных правовых актов&quot; (с изм. и доп., вступающими в силу с 01.01.2024) {КонсультантПлюс}">
        <w:r>
          <w:rPr>
            <w:sz w:val="20"/>
            <w:color w:val="0000ff"/>
          </w:rPr>
          <w:t xml:space="preserve">программы</w:t>
        </w:r>
      </w:hyperlink>
      <w:r>
        <w:rPr>
          <w:sz w:val="20"/>
        </w:rPr>
        <w:t xml:space="preserve"> Тюменской области "Развитие малого и среднего предпринимательства и научно-инновационной сферы", утвержденной постановлением Правительства Тюменской области от 14.12.2018 N 511-п (далее - государственная программа Тюменской области), а также порядок возврата гранта в случае несоблюдения условий, установленных при его предоставлении.</w:t>
      </w:r>
    </w:p>
    <w:p>
      <w:pPr>
        <w:pStyle w:val="0"/>
        <w:jc w:val="both"/>
      </w:pPr>
      <w:r>
        <w:rPr>
          <w:sz w:val="20"/>
        </w:rPr>
        <w:t xml:space="preserve">(в ред. постановлений Правительства Тюменской области от 20.06.2022 </w:t>
      </w:r>
      <w:hyperlink w:history="0" r:id="rId3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20.12.2022 </w:t>
      </w:r>
      <w:hyperlink w:history="0" r:id="rId31"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rPr>
        <w:t xml:space="preserve">)</w:t>
      </w:r>
    </w:p>
    <w:bookmarkStart w:id="53" w:name="P53"/>
    <w:bookmarkEnd w:id="53"/>
    <w:p>
      <w:pPr>
        <w:pStyle w:val="0"/>
        <w:spacing w:before="200" w:line-rule="auto"/>
        <w:ind w:firstLine="540"/>
        <w:jc w:val="both"/>
      </w:pPr>
      <w:r>
        <w:rPr>
          <w:sz w:val="20"/>
        </w:rPr>
        <w:t xml:space="preserve">1.2. Гранты предоставляются Департаментом инвестиционной политики и государственной поддержки предпринимательства Тюменской области (далее - Уполномоченный орган),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в пределах лимитов бюджетных обязательств, утвержденных на реализацию соответствующего мероприятия государственной программы.</w:t>
      </w:r>
    </w:p>
    <w:p>
      <w:pPr>
        <w:pStyle w:val="0"/>
        <w:spacing w:before="200" w:line-rule="auto"/>
        <w:ind w:firstLine="540"/>
        <w:jc w:val="both"/>
      </w:pPr>
      <w:r>
        <w:rPr>
          <w:sz w:val="20"/>
        </w:rPr>
        <w:t xml:space="preserve">1.3. Гранты предоставляются в целях реализации государственной программы Тюменской области, регионального проекта Тюменской области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и достижения результатов, предусмотренных настоящим Порядком.</w:t>
      </w:r>
    </w:p>
    <w:p>
      <w:pPr>
        <w:pStyle w:val="0"/>
        <w:jc w:val="both"/>
      </w:pPr>
      <w:r>
        <w:rPr>
          <w:sz w:val="20"/>
        </w:rPr>
        <w:t xml:space="preserve">(в ред. </w:t>
      </w:r>
      <w:hyperlink w:history="0" r:id="rId32"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w:t>
      </w:r>
    </w:p>
    <w:bookmarkStart w:id="56" w:name="P56"/>
    <w:bookmarkEnd w:id="56"/>
    <w:p>
      <w:pPr>
        <w:pStyle w:val="0"/>
        <w:spacing w:before="200" w:line-rule="auto"/>
        <w:ind w:firstLine="540"/>
        <w:jc w:val="both"/>
      </w:pPr>
      <w:r>
        <w:rPr>
          <w:sz w:val="20"/>
        </w:rPr>
        <w:t xml:space="preserve">1.4. Порядок распространяется на субъекты малого и среднего предпринимательства (юридические лица и индивидуальные предприниматели),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которые соответствуют условиям, определенным Федеральным </w:t>
      </w:r>
      <w:hyperlink w:history="0" r:id="rId3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 (далее - субъекты МСП).</w:t>
      </w:r>
    </w:p>
    <w:p>
      <w:pPr>
        <w:pStyle w:val="0"/>
        <w:spacing w:before="200" w:line-rule="auto"/>
        <w:ind w:firstLine="540"/>
        <w:jc w:val="both"/>
      </w:pPr>
      <w:hyperlink w:history="0" r:id="rId3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1.4.1</w:t>
        </w:r>
      </w:hyperlink>
      <w:r>
        <w:rPr>
          <w:sz w:val="20"/>
        </w:rPr>
        <w:t xml:space="preserve">. Грант предоставляется субъектам МСП, сведения о которых внесены в единый реестр субъектов малого и среднего предпринимательства, размещенный в информационно-телекоммуникационной сети Интернет на официальном сайте уполномоченного органа, отвечающего за ведение единого реестра субъектов малого и среднего предпринимательства (далее - Единый реестр субъектов МСП), и осуществляющим деятельность в сфере социального предпринимательства.</w:t>
      </w:r>
    </w:p>
    <w:p>
      <w:pPr>
        <w:pStyle w:val="0"/>
        <w:spacing w:before="200" w:line-rule="auto"/>
        <w:ind w:firstLine="540"/>
        <w:jc w:val="both"/>
      </w:pPr>
      <w:r>
        <w:rPr>
          <w:sz w:val="20"/>
        </w:rPr>
        <w:t xml:space="preserve">В целях подтверждения осуществления деятельности в сфере социального предпринимательства субъект МСП должен быть признан социальным предприятием в порядке, установленном в соответствии с </w:t>
      </w:r>
      <w:hyperlink w:history="0" r:id="rId3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24.1</w:t>
        </w:r>
      </w:hyperlink>
      <w:r>
        <w:rPr>
          <w:sz w:val="20"/>
        </w:rPr>
        <w:t xml:space="preserve"> Федерального закона N 209-ФЗ.</w:t>
      </w:r>
    </w:p>
    <w:p>
      <w:pPr>
        <w:pStyle w:val="0"/>
        <w:spacing w:before="200" w:line-rule="auto"/>
        <w:ind w:firstLine="540"/>
        <w:jc w:val="both"/>
      </w:pPr>
      <w:r>
        <w:rPr>
          <w:sz w:val="20"/>
        </w:rPr>
        <w:t xml:space="preserve">Сведения о статусе социального предприятия должны быть внесены в Единый реестр субъектов МСП в период согласно </w:t>
      </w:r>
      <w:hyperlink w:history="0" r:id="rId36"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пункту 5.1.1</w:t>
        </w:r>
      </w:hyperlink>
      <w:r>
        <w:rPr>
          <w:sz w:val="20"/>
        </w:rPr>
        <w:t xml:space="preserve"> Приказа N 142.</w:t>
      </w:r>
    </w:p>
    <w:p>
      <w:pPr>
        <w:pStyle w:val="0"/>
        <w:spacing w:before="200" w:line-rule="auto"/>
        <w:ind w:firstLine="540"/>
        <w:jc w:val="both"/>
      </w:pPr>
      <w:r>
        <w:rPr>
          <w:sz w:val="20"/>
        </w:rPr>
        <w:t xml:space="preserve">1.4.2. Грант предоставляется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 молодые предприниматели).</w:t>
      </w:r>
    </w:p>
    <w:p>
      <w:pPr>
        <w:pStyle w:val="0"/>
        <w:jc w:val="both"/>
      </w:pPr>
      <w:r>
        <w:rPr>
          <w:sz w:val="20"/>
        </w:rPr>
        <w:t xml:space="preserve">(п. 1.4.2 в ред. </w:t>
      </w:r>
      <w:hyperlink w:history="0" r:id="rId37"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p>
      <w:pPr>
        <w:pStyle w:val="0"/>
        <w:spacing w:before="200" w:line-rule="auto"/>
        <w:ind w:firstLine="540"/>
        <w:jc w:val="both"/>
      </w:pPr>
      <w:r>
        <w:rPr>
          <w:sz w:val="20"/>
        </w:rPr>
        <w:t xml:space="preserve">1.5. Грант предоставляется на финансовое обеспечение расходов, связанных с реализацией социальными предприятиями проекта в сфере социального предпринимательства, или молодым предпринимателям на реализацию проекта в сфере предпринимательской деятельности.</w:t>
      </w:r>
    </w:p>
    <w:p>
      <w:pPr>
        <w:pStyle w:val="0"/>
        <w:jc w:val="both"/>
      </w:pPr>
      <w:r>
        <w:rPr>
          <w:sz w:val="20"/>
        </w:rPr>
        <w:t xml:space="preserve">(п. 1.5 в ред. </w:t>
      </w:r>
      <w:hyperlink w:history="0" r:id="rId3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1.6. Критериями отбора субъектов МСП для получения гранта социальным предприятием являются:</w:t>
      </w:r>
    </w:p>
    <w:p>
      <w:pPr>
        <w:pStyle w:val="0"/>
        <w:jc w:val="both"/>
      </w:pPr>
      <w:r>
        <w:rPr>
          <w:sz w:val="20"/>
        </w:rPr>
        <w:t xml:space="preserve">(в ред. </w:t>
      </w:r>
      <w:hyperlink w:history="0" r:id="rId3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1.6.1. Степень детализации реализации 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p>
      <w:pPr>
        <w:pStyle w:val="0"/>
        <w:spacing w:before="200" w:line-rule="auto"/>
        <w:ind w:firstLine="540"/>
        <w:jc w:val="both"/>
      </w:pPr>
      <w:r>
        <w:rPr>
          <w:sz w:val="20"/>
        </w:rPr>
        <w:t xml:space="preserve">1.6.2. Степень социального эффекта от проекта;</w:t>
      </w:r>
    </w:p>
    <w:p>
      <w:pPr>
        <w:pStyle w:val="0"/>
        <w:spacing w:before="200" w:line-rule="auto"/>
        <w:ind w:firstLine="540"/>
        <w:jc w:val="both"/>
      </w:pPr>
      <w:r>
        <w:rPr>
          <w:sz w:val="20"/>
        </w:rPr>
        <w:t xml:space="preserve">1.6.3. Степень обеспеченности материально-технической, ресурсной базой для реализации плана проекта в сфере социального предпринимательства;</w:t>
      </w:r>
    </w:p>
    <w:p>
      <w:pPr>
        <w:pStyle w:val="0"/>
        <w:spacing w:before="200" w:line-rule="auto"/>
        <w:ind w:firstLine="540"/>
        <w:jc w:val="both"/>
      </w:pPr>
      <w:r>
        <w:rPr>
          <w:sz w:val="20"/>
        </w:rPr>
        <w:t xml:space="preserve">1.6.4. Уровень квалификации персонала, реализующего проект в сфере социального предпринимательства;</w:t>
      </w:r>
    </w:p>
    <w:p>
      <w:pPr>
        <w:pStyle w:val="0"/>
        <w:spacing w:before="200" w:line-rule="auto"/>
        <w:ind w:firstLine="540"/>
        <w:jc w:val="both"/>
      </w:pPr>
      <w:r>
        <w:rPr>
          <w:sz w:val="20"/>
        </w:rPr>
        <w:t xml:space="preserve">1.6.5. Обоснование востребованности товаров (работ, услуг) участника отбора и реализации плана продаж;</w:t>
      </w:r>
    </w:p>
    <w:p>
      <w:pPr>
        <w:pStyle w:val="0"/>
        <w:spacing w:before="200" w:line-rule="auto"/>
        <w:ind w:firstLine="540"/>
        <w:jc w:val="both"/>
      </w:pPr>
      <w:r>
        <w:rPr>
          <w:sz w:val="20"/>
        </w:rPr>
        <w:t xml:space="preserve">1.6.6. Срок окупаемости проекта в сфере социального предпринимательства;</w:t>
      </w:r>
    </w:p>
    <w:p>
      <w:pPr>
        <w:pStyle w:val="0"/>
        <w:spacing w:before="200" w:line-rule="auto"/>
        <w:ind w:firstLine="540"/>
        <w:jc w:val="both"/>
      </w:pPr>
      <w:r>
        <w:rPr>
          <w:sz w:val="20"/>
        </w:rPr>
        <w:t xml:space="preserve">1.6.7. Информационная открытость (наличие информации об организации в информационно-телекоммуникационной сети "Интернет").</w:t>
      </w:r>
    </w:p>
    <w:p>
      <w:pPr>
        <w:pStyle w:val="0"/>
        <w:spacing w:before="200" w:line-rule="auto"/>
        <w:ind w:firstLine="540"/>
        <w:jc w:val="both"/>
      </w:pPr>
      <w:r>
        <w:rPr>
          <w:sz w:val="20"/>
        </w:rPr>
        <w:t xml:space="preserve">1.7. Критериями отбора субъектов МСП для получения гранта молодыми предпринимателями являются:</w:t>
      </w:r>
    </w:p>
    <w:p>
      <w:pPr>
        <w:pStyle w:val="0"/>
        <w:spacing w:before="200" w:line-rule="auto"/>
        <w:ind w:firstLine="540"/>
        <w:jc w:val="both"/>
      </w:pPr>
      <w:r>
        <w:rPr>
          <w:sz w:val="20"/>
        </w:rPr>
        <w:t xml:space="preserve">1.7.1. Степень детализации реализации плана проекта в краткосрочной перспективе (до одного года) и обоснованности потребности в финансовых ресурсах для его реализации.</w:t>
      </w:r>
    </w:p>
    <w:p>
      <w:pPr>
        <w:pStyle w:val="0"/>
        <w:spacing w:before="200" w:line-rule="auto"/>
        <w:ind w:firstLine="540"/>
        <w:jc w:val="both"/>
      </w:pPr>
      <w:r>
        <w:rPr>
          <w:sz w:val="20"/>
        </w:rPr>
        <w:t xml:space="preserve">1.7.2. Уникальность проекта.</w:t>
      </w:r>
    </w:p>
    <w:p>
      <w:pPr>
        <w:pStyle w:val="0"/>
        <w:spacing w:before="200" w:line-rule="auto"/>
        <w:ind w:firstLine="540"/>
        <w:jc w:val="both"/>
      </w:pPr>
      <w:r>
        <w:rPr>
          <w:sz w:val="20"/>
        </w:rPr>
        <w:t xml:space="preserve">1.7.3. Обоснованность практической значимости проекта для реального сектора экономики.</w:t>
      </w:r>
    </w:p>
    <w:p>
      <w:pPr>
        <w:pStyle w:val="0"/>
        <w:spacing w:before="200" w:line-rule="auto"/>
        <w:ind w:firstLine="540"/>
        <w:jc w:val="both"/>
      </w:pPr>
      <w:r>
        <w:rPr>
          <w:sz w:val="20"/>
        </w:rPr>
        <w:t xml:space="preserve">1.7.4. Обоснование востребованности товаров (работ, услуг) участника отбора и реализации плана продаж.</w:t>
      </w:r>
    </w:p>
    <w:p>
      <w:pPr>
        <w:pStyle w:val="0"/>
        <w:spacing w:before="200" w:line-rule="auto"/>
        <w:ind w:firstLine="540"/>
        <w:jc w:val="both"/>
      </w:pPr>
      <w:r>
        <w:rPr>
          <w:sz w:val="20"/>
        </w:rPr>
        <w:t xml:space="preserve">1.7.5. Экономическая эффективность проекта.</w:t>
      </w:r>
    </w:p>
    <w:p>
      <w:pPr>
        <w:pStyle w:val="0"/>
        <w:spacing w:before="200" w:line-rule="auto"/>
        <w:ind w:firstLine="540"/>
        <w:jc w:val="both"/>
      </w:pPr>
      <w:r>
        <w:rPr>
          <w:sz w:val="20"/>
        </w:rPr>
        <w:t xml:space="preserve">1.7.6. Наличие собственных средств в проекте.</w:t>
      </w:r>
    </w:p>
    <w:p>
      <w:pPr>
        <w:pStyle w:val="0"/>
        <w:spacing w:before="200" w:line-rule="auto"/>
        <w:ind w:firstLine="540"/>
        <w:jc w:val="both"/>
      </w:pPr>
      <w:r>
        <w:rPr>
          <w:sz w:val="20"/>
        </w:rPr>
        <w:t xml:space="preserve">1.7.7. Информационная открытость (наличие информации об организации в информационно-телекоммуникационной сети "Интернет").</w:t>
      </w:r>
    </w:p>
    <w:p>
      <w:pPr>
        <w:pStyle w:val="0"/>
        <w:jc w:val="both"/>
      </w:pPr>
      <w:r>
        <w:rPr>
          <w:sz w:val="20"/>
        </w:rPr>
        <w:t xml:space="preserve">(п. 1.7 введен </w:t>
      </w:r>
      <w:hyperlink w:history="0" r:id="rId4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1.8. Сведения о грантах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(в ред. постановлений Правительства Тюменской области от 20.12.2022 </w:t>
      </w:r>
      <w:hyperlink w:history="0" r:id="rId41"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rPr>
        <w:t xml:space="preserve">, от 09.10.2023 </w:t>
      </w:r>
      <w:hyperlink w:history="0" r:id="rId4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Сведения о грантах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(абзац введен </w:t>
      </w:r>
      <w:hyperlink w:history="0" r:id="rId43"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10.12.2021 N 816-п)</w:t>
      </w:r>
    </w:p>
    <w:p>
      <w:pPr>
        <w:pStyle w:val="0"/>
        <w:spacing w:before="200" w:line-rule="auto"/>
        <w:ind w:firstLine="540"/>
        <w:jc w:val="both"/>
      </w:pPr>
      <w:r>
        <w:rPr>
          <w:sz w:val="20"/>
        </w:rPr>
        <w:t xml:space="preserve">Настоящий Порядок размещается на Официальном портале органов государственной власти Тюменской области в информационно-телекоммуникационной сети "Интернет" (</w:t>
      </w:r>
      <w:r>
        <w:rPr>
          <w:sz w:val="20"/>
        </w:rPr>
        <w:t xml:space="preserve">https://admtyumen.ru</w:t>
      </w:r>
      <w:r>
        <w:rPr>
          <w:sz w:val="20"/>
        </w:rPr>
        <w:t xml:space="preserve">) в разделе "Исполнительные органы власти", в подразделах "Департамент инвестиционной политики и государственной поддержки предпринимательства Тюменской области", "Нормативные правовые и правовые акты", а также на официальном сайте Уполномоченного органа (</w:t>
      </w:r>
      <w:r>
        <w:rPr>
          <w:sz w:val="20"/>
        </w:rPr>
        <w:t xml:space="preserve">https://tyumen-region.ru</w:t>
      </w:r>
      <w:r>
        <w:rPr>
          <w:sz w:val="20"/>
        </w:rPr>
        <w:t xml:space="preserve">) в разделе "Малое и среднее предпринимательство", подразделе "Федеральное и региональное законодательство".</w:t>
      </w:r>
    </w:p>
    <w:p>
      <w:pPr>
        <w:pStyle w:val="0"/>
        <w:jc w:val="both"/>
      </w:pPr>
      <w:r>
        <w:rPr>
          <w:sz w:val="20"/>
        </w:rPr>
        <w:t xml:space="preserve">(в ред. </w:t>
      </w:r>
      <w:hyperlink w:history="0" r:id="rId4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88" w:name="P88"/>
    <w:bookmarkEnd w:id="88"/>
    <w:p>
      <w:pPr>
        <w:pStyle w:val="0"/>
        <w:spacing w:before="200" w:line-rule="auto"/>
        <w:ind w:firstLine="540"/>
        <w:jc w:val="both"/>
      </w:pPr>
      <w:hyperlink w:history="0" r:id="rId45"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1.9</w:t>
        </w:r>
      </w:hyperlink>
      <w:r>
        <w:rPr>
          <w:sz w:val="20"/>
        </w:rPr>
        <w:t xml:space="preserve">. Определение получателей гранта осуществляется по результатам проведения отбора в форме конкурса, который проводится при определении получателя гранта, исходя из наилучших условий достижения результата, в целях достижения которого предоставляется грант (далее - отбор).</w:t>
      </w:r>
    </w:p>
    <w:p>
      <w:pPr>
        <w:pStyle w:val="0"/>
        <w:spacing w:before="200" w:line-rule="auto"/>
        <w:ind w:firstLine="540"/>
        <w:jc w:val="both"/>
      </w:pPr>
      <w:r>
        <w:rPr>
          <w:sz w:val="20"/>
        </w:rPr>
        <w:t xml:space="preserve">Организатором отбора является Фонд "Инвестиционное агентство Тюменской области" (далее - Фонд).</w:t>
      </w:r>
    </w:p>
    <w:p>
      <w:pPr>
        <w:pStyle w:val="0"/>
        <w:spacing w:before="200" w:line-rule="auto"/>
        <w:ind w:firstLine="540"/>
        <w:jc w:val="both"/>
      </w:pPr>
      <w:r>
        <w:rPr>
          <w:sz w:val="20"/>
        </w:rPr>
        <w:t xml:space="preserve">Фонд выполняет функции по приему и регистрации заявок на участие в отборе, проверке заявок на предмет соблюдения требований, установленных настоящим Порядком, готовит заключения, согласовывает изменения в перечень затрат (план расходов) гранта, оказывает методическое содействие в подготовке отчетности.</w:t>
      </w:r>
    </w:p>
    <w:p>
      <w:pPr>
        <w:pStyle w:val="0"/>
        <w:jc w:val="both"/>
      </w:pPr>
      <w:r>
        <w:rPr>
          <w:sz w:val="20"/>
        </w:rPr>
        <w:t xml:space="preserve">(абзац введен </w:t>
      </w:r>
      <w:hyperlink w:history="0" r:id="rId46"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20.12.2022 N 964-п)</w:t>
      </w:r>
    </w:p>
    <w:p>
      <w:pPr>
        <w:pStyle w:val="0"/>
        <w:jc w:val="both"/>
      </w:pPr>
      <w:r>
        <w:rPr>
          <w:sz w:val="20"/>
        </w:rPr>
      </w:r>
    </w:p>
    <w:bookmarkStart w:id="93" w:name="P93"/>
    <w:bookmarkEnd w:id="93"/>
    <w:p>
      <w:pPr>
        <w:pStyle w:val="2"/>
        <w:outlineLvl w:val="1"/>
        <w:jc w:val="center"/>
      </w:pPr>
      <w:r>
        <w:rPr>
          <w:sz w:val="20"/>
        </w:rPr>
        <w:t xml:space="preserve">II. Порядок проведения отбора получателей грантов</w:t>
      </w:r>
    </w:p>
    <w:p>
      <w:pPr>
        <w:pStyle w:val="2"/>
        <w:jc w:val="center"/>
      </w:pPr>
      <w:r>
        <w:rPr>
          <w:sz w:val="20"/>
        </w:rPr>
        <w:t xml:space="preserve">для предоставления грантов</w:t>
      </w:r>
    </w:p>
    <w:p>
      <w:pPr>
        <w:pStyle w:val="0"/>
        <w:jc w:val="center"/>
      </w:pPr>
      <w:r>
        <w:rPr>
          <w:sz w:val="20"/>
        </w:rPr>
        <w:t xml:space="preserve">(в ред. </w:t>
      </w:r>
      <w:hyperlink w:history="0" r:id="rId4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09.10.2023 N 653-п)</w:t>
      </w:r>
    </w:p>
    <w:p>
      <w:pPr>
        <w:pStyle w:val="0"/>
        <w:jc w:val="both"/>
      </w:pPr>
      <w:r>
        <w:rPr>
          <w:sz w:val="20"/>
        </w:rPr>
      </w:r>
    </w:p>
    <w:p>
      <w:pPr>
        <w:pStyle w:val="0"/>
        <w:ind w:firstLine="540"/>
        <w:jc w:val="both"/>
      </w:pPr>
      <w:r>
        <w:rPr>
          <w:sz w:val="20"/>
        </w:rPr>
        <w:t xml:space="preserve">2.1. Порядок проведения отбора включает:</w:t>
      </w:r>
    </w:p>
    <w:p>
      <w:pPr>
        <w:pStyle w:val="0"/>
        <w:spacing w:before="200" w:line-rule="auto"/>
        <w:ind w:firstLine="540"/>
        <w:jc w:val="both"/>
      </w:pPr>
      <w:r>
        <w:rPr>
          <w:sz w:val="20"/>
        </w:rPr>
        <w:t xml:space="preserve">1) прием заявочных документов Фондом в соответствии с перечнем, установленным настоящим Порядком;</w:t>
      </w:r>
    </w:p>
    <w:p>
      <w:pPr>
        <w:pStyle w:val="0"/>
        <w:spacing w:before="200" w:line-rule="auto"/>
        <w:ind w:firstLine="540"/>
        <w:jc w:val="both"/>
      </w:pPr>
      <w:r>
        <w:rPr>
          <w:sz w:val="20"/>
        </w:rPr>
        <w:t xml:space="preserve">2) проведение Фондом проверочных мероприятий полноты и достоверности сведений, содержащихся в представленных участником отбора документах, их соответствие порядку и условиям предоставления гранта, осуществление расчета размера гранта для рассмотрения конкурсной комиссией по отбору субъектов малого и среднего предпринимательства, осуществляющих деятельность в сфере социального предпринимательства, для получения гранта или конкурсной комиссией по отбору субъектов малого и среднего предпринимательства, созданных физическими лицами в возрасте до 25 лет включительно, для получения гранта (далее - Комиссия);</w:t>
      </w:r>
    </w:p>
    <w:p>
      <w:pPr>
        <w:pStyle w:val="0"/>
        <w:jc w:val="both"/>
      </w:pPr>
      <w:r>
        <w:rPr>
          <w:sz w:val="20"/>
        </w:rPr>
        <w:t xml:space="preserve">(пп. 2 в ред. </w:t>
      </w:r>
      <w:hyperlink w:history="0" r:id="rId48"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p>
      <w:pPr>
        <w:pStyle w:val="0"/>
        <w:spacing w:before="200" w:line-rule="auto"/>
        <w:ind w:firstLine="540"/>
        <w:jc w:val="both"/>
      </w:pPr>
      <w:r>
        <w:rPr>
          <w:sz w:val="20"/>
        </w:rPr>
        <w:t xml:space="preserve">3) составление и направление Фондом заключения о соответствии участника отбора положениям, предусмотренным настоящим Порядком, на рассмотрение Комиссии;</w:t>
      </w:r>
    </w:p>
    <w:p>
      <w:pPr>
        <w:pStyle w:val="0"/>
        <w:spacing w:before="200" w:line-rule="auto"/>
        <w:ind w:firstLine="540"/>
        <w:jc w:val="both"/>
      </w:pPr>
      <w:r>
        <w:rPr>
          <w:sz w:val="20"/>
        </w:rPr>
        <w:t xml:space="preserve">4) организацию проведения Комиссии и документальное оформление ее решений в виде протокола;</w:t>
      </w:r>
    </w:p>
    <w:p>
      <w:pPr>
        <w:pStyle w:val="0"/>
        <w:spacing w:before="200" w:line-rule="auto"/>
        <w:ind w:firstLine="540"/>
        <w:jc w:val="both"/>
      </w:pPr>
      <w:r>
        <w:rPr>
          <w:sz w:val="20"/>
        </w:rPr>
        <w:t xml:space="preserve">5) направление протокола Комиссии в Уполномоченный орган для последующего принятия решения Уполномоченным органом о предоставлении гранта или об отказе в предоставлении гранта.</w:t>
      </w:r>
    </w:p>
    <w:p>
      <w:pPr>
        <w:pStyle w:val="0"/>
        <w:jc w:val="both"/>
      </w:pPr>
      <w:r>
        <w:rPr>
          <w:sz w:val="20"/>
        </w:rPr>
        <w:t xml:space="preserve">(в ред. </w:t>
      </w:r>
      <w:hyperlink w:history="0" r:id="rId4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106" w:name="P106"/>
    <w:bookmarkEnd w:id="106"/>
    <w:p>
      <w:pPr>
        <w:pStyle w:val="0"/>
        <w:spacing w:before="200" w:line-rule="auto"/>
        <w:ind w:firstLine="540"/>
        <w:jc w:val="both"/>
      </w:pPr>
      <w:r>
        <w:rPr>
          <w:sz w:val="20"/>
        </w:rPr>
        <w:t xml:space="preserve">2.2. В целях проведения отбора в форме, установленного </w:t>
      </w:r>
      <w:hyperlink w:history="0" w:anchor="P88" w:tooltip="1.9. Определение получателей гранта осуществляется по результатам проведения отбора в форме конкурса, который проводится при определении получателя гранта, исходя из наилучших условий достижения результата, в целях достижения которого предоставляется грант (далее - отбор).">
        <w:r>
          <w:rPr>
            <w:sz w:val="20"/>
            <w:color w:val="0000ff"/>
          </w:rPr>
          <w:t xml:space="preserve">пунктом 1.9</w:t>
        </w:r>
      </w:hyperlink>
      <w:r>
        <w:rPr>
          <w:sz w:val="20"/>
        </w:rPr>
        <w:t xml:space="preserve"> настоящего Порядка, Уполномоченный орган не ранее чем за один рабочий день до даты начала приема Фондом документов размещает объявление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Официальном портале органов государственной власти Тюменской области в информационно-телекоммуникационной сети "Интернет" с указанием в объявлении о проведении отбора:</w:t>
      </w:r>
    </w:p>
    <w:p>
      <w:pPr>
        <w:pStyle w:val="0"/>
        <w:jc w:val="both"/>
      </w:pPr>
      <w:r>
        <w:rPr>
          <w:sz w:val="20"/>
        </w:rPr>
        <w:t xml:space="preserve">(в ред. </w:t>
      </w:r>
      <w:hyperlink w:history="0" r:id="rId50"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 (ред. 09.10.2023))</w:t>
      </w:r>
    </w:p>
    <w:p>
      <w:pPr>
        <w:pStyle w:val="0"/>
        <w:spacing w:before="200" w:line-rule="auto"/>
        <w:ind w:firstLine="540"/>
        <w:jc w:val="both"/>
      </w:pPr>
      <w:r>
        <w:rPr>
          <w:sz w:val="20"/>
        </w:rPr>
        <w:t xml:space="preserve">1) сроков проведения отбора;</w:t>
      </w:r>
    </w:p>
    <w:p>
      <w:pPr>
        <w:pStyle w:val="0"/>
        <w:jc w:val="both"/>
      </w:pPr>
      <w:r>
        <w:rPr>
          <w:sz w:val="20"/>
        </w:rPr>
        <w:t xml:space="preserve">(пп. 1 в ред. </w:t>
      </w:r>
      <w:hyperlink w:history="0" r:id="rId51"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w:t>
      </w:r>
    </w:p>
    <w:p>
      <w:pPr>
        <w:pStyle w:val="0"/>
        <w:spacing w:before="200" w:line-rule="auto"/>
        <w:ind w:firstLine="540"/>
        <w:jc w:val="both"/>
      </w:pPr>
      <w:r>
        <w:rPr>
          <w:sz w:val="20"/>
        </w:rPr>
        <w:t xml:space="preserve">2) даты начала подачи или окончания приема заявочных документов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абзац исключен. - </w:t>
      </w:r>
      <w:hyperlink w:history="0" r:id="rId5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w:t>
        </w:r>
      </w:hyperlink>
      <w:r>
        <w:rPr>
          <w:sz w:val="20"/>
        </w:rPr>
        <w:t xml:space="preserve"> Правительства Тюменской области от 09.10.2023 N 653-п;</w:t>
      </w:r>
    </w:p>
    <w:p>
      <w:pPr>
        <w:pStyle w:val="0"/>
        <w:jc w:val="both"/>
      </w:pPr>
      <w:r>
        <w:rPr>
          <w:sz w:val="20"/>
        </w:rPr>
        <w:t xml:space="preserve">(пп. 2 введен </w:t>
      </w:r>
      <w:hyperlink w:history="0" r:id="rId53"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10.12.2021 N 816-п)</w:t>
      </w:r>
    </w:p>
    <w:p>
      <w:pPr>
        <w:pStyle w:val="0"/>
        <w:spacing w:before="200" w:line-rule="auto"/>
        <w:ind w:firstLine="540"/>
        <w:jc w:val="both"/>
      </w:pPr>
      <w:hyperlink w:history="0" r:id="rId54"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3</w:t>
        </w:r>
      </w:hyperlink>
      <w:r>
        <w:rPr>
          <w:sz w:val="20"/>
        </w:rPr>
        <w:t xml:space="preserve">) наименования, места нахождения, почтового адреса, адреса электронной почты Фонда;</w:t>
      </w:r>
    </w:p>
    <w:p>
      <w:pPr>
        <w:pStyle w:val="0"/>
        <w:spacing w:before="200" w:line-rule="auto"/>
        <w:ind w:firstLine="540"/>
        <w:jc w:val="both"/>
      </w:pPr>
      <w:hyperlink w:history="0" r:id="rId55"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4</w:t>
        </w:r>
      </w:hyperlink>
      <w:r>
        <w:rPr>
          <w:sz w:val="20"/>
        </w:rPr>
        <w:t xml:space="preserve">) результата предоставления гранта, установленного в соответствии с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пунктом 3.11</w:t>
        </w:r>
      </w:hyperlink>
      <w:r>
        <w:rPr>
          <w:sz w:val="20"/>
        </w:rPr>
        <w:t xml:space="preserve"> настоящего Порядка;</w:t>
      </w:r>
    </w:p>
    <w:p>
      <w:pPr>
        <w:pStyle w:val="0"/>
        <w:jc w:val="both"/>
      </w:pPr>
      <w:r>
        <w:rPr>
          <w:sz w:val="20"/>
        </w:rPr>
        <w:t xml:space="preserve">(в ред. </w:t>
      </w:r>
      <w:hyperlink w:history="0" r:id="rId5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5)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(пп. 5 в ред. </w:t>
      </w:r>
      <w:hyperlink w:history="0" r:id="rId57"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w:t>
      </w:r>
    </w:p>
    <w:p>
      <w:pPr>
        <w:pStyle w:val="0"/>
        <w:spacing w:before="200" w:line-rule="auto"/>
        <w:ind w:firstLine="540"/>
        <w:jc w:val="both"/>
      </w:pPr>
      <w:hyperlink w:history="0" r:id="rId58"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6</w:t>
        </w:r>
      </w:hyperlink>
      <w:r>
        <w:rPr>
          <w:sz w:val="20"/>
        </w:rPr>
        <w:t xml:space="preserve">) требований к участникам отбора, установленных </w:t>
      </w:r>
      <w:hyperlink w:history="0" w:anchor="P131"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 и документам, представляемых участниками отбора в соответствии с </w:t>
      </w:r>
      <w:hyperlink w:history="0" w:anchor="P179" w:tooltip="2.7. Перечень документов, предоставляемых участником отбора в Фонд (далее - заявочные документы).">
        <w:r>
          <w:rPr>
            <w:sz w:val="20"/>
            <w:color w:val="0000ff"/>
          </w:rPr>
          <w:t xml:space="preserve">пунктом 2.7</w:t>
        </w:r>
      </w:hyperlink>
      <w:r>
        <w:rPr>
          <w:sz w:val="20"/>
        </w:rPr>
        <w:t xml:space="preserve"> настоящего Порядка для подтверждения их соответствия указанным требованиям;</w:t>
      </w:r>
    </w:p>
    <w:p>
      <w:pPr>
        <w:pStyle w:val="0"/>
        <w:spacing w:before="200" w:line-rule="auto"/>
        <w:ind w:firstLine="540"/>
        <w:jc w:val="both"/>
      </w:pPr>
      <w:hyperlink w:history="0" r:id="rId59"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7</w:t>
        </w:r>
      </w:hyperlink>
      <w:r>
        <w:rPr>
          <w:sz w:val="20"/>
        </w:rPr>
        <w:t xml:space="preserve">) порядка подачи заявочных документов участниками отбора, установленного </w:t>
      </w:r>
      <w:hyperlink w:history="0" w:anchor="P163" w:tooltip="2.4. Прием заявочных документов, консультирование субъектов МСП о положениях настоящего Порядка осуществляется Фондом или Государственным автономным учреждением Тюменской области &quot;Многофункциональный центр предоставления государственных и муниципальных услуг в Тюменской области&quot; (далее - МФЦ) (в случае, если между Фондом и МФЦ заключено соглашение о взаимодействии и подача указанных документов предусмотрена перечнем государственных и муниципальных услуг, предоставляемых в МФЦ).">
        <w:r>
          <w:rPr>
            <w:sz w:val="20"/>
            <w:color w:val="0000ff"/>
          </w:rPr>
          <w:t xml:space="preserve">пунктами 2.4</w:t>
        </w:r>
      </w:hyperlink>
      <w:r>
        <w:rPr>
          <w:sz w:val="20"/>
        </w:rPr>
        <w:t xml:space="preserve"> - </w:t>
      </w:r>
      <w:hyperlink w:history="0" w:anchor="P172" w:tooltip="2.6. Заявочные документы, представленные лично, через представителя, на почтовый адрес Фонда не в соответствии с отраженной в заявке описью документов, либо направленные, при наличии уже зарегистрированных заявочных документов от данного субъекта МСП, возвращаются Фондом без регистрации в течение 5 рабочих дней со дня, следующего за днем их получения Фондом.">
        <w:r>
          <w:rPr>
            <w:sz w:val="20"/>
            <w:color w:val="0000ff"/>
          </w:rPr>
          <w:t xml:space="preserve">2.6</w:t>
        </w:r>
      </w:hyperlink>
      <w:r>
        <w:rPr>
          <w:sz w:val="20"/>
        </w:rPr>
        <w:t xml:space="preserve">, </w:t>
      </w:r>
      <w:hyperlink w:history="0" w:anchor="P216" w:tooltip="2.8. Каждый участник отбора в течение срока приема заявочных документов, установленного в объявлении о проведении отбора, может подать только одну заявку на один проект в сфере социального предпринимательства или в сфере предпринимательской деятельности.">
        <w:r>
          <w:rPr>
            <w:sz w:val="20"/>
            <w:color w:val="0000ff"/>
          </w:rPr>
          <w:t xml:space="preserve">2.8</w:t>
        </w:r>
      </w:hyperlink>
      <w:r>
        <w:rPr>
          <w:sz w:val="20"/>
        </w:rPr>
        <w:t xml:space="preserve"> настоящего Порядка, и требований, предъявляемых к форме и содержанию заявочных документов, подаваемых участниками отбора в соответствии с </w:t>
      </w:r>
      <w:hyperlink w:history="0" w:anchor="P179" w:tooltip="2.7. Перечень документов, предоставляемых участником отбора в Фонд (далее - заявочные документы).">
        <w:r>
          <w:rPr>
            <w:sz w:val="20"/>
            <w:color w:val="0000ff"/>
          </w:rPr>
          <w:t xml:space="preserve">пунктом 2.7</w:t>
        </w:r>
      </w:hyperlink>
      <w:r>
        <w:rPr>
          <w:sz w:val="20"/>
        </w:rPr>
        <w:t xml:space="preserve"> настоящего Порядка;</w:t>
      </w:r>
    </w:p>
    <w:p>
      <w:pPr>
        <w:pStyle w:val="0"/>
        <w:spacing w:before="200" w:line-rule="auto"/>
        <w:ind w:firstLine="540"/>
        <w:jc w:val="both"/>
      </w:pPr>
      <w:hyperlink w:history="0" r:id="rId60"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8</w:t>
        </w:r>
      </w:hyperlink>
      <w:r>
        <w:rPr>
          <w:sz w:val="20"/>
        </w:rPr>
        <w:t xml:space="preserve">) порядка отзыва заявочных документов участников отбора, порядка возврата заявочных документов участников отбора, определяющего в том числе основания для возврата заявочных документов участников отбора, порядка внесения изменений в заявочные документы участников отбора в соответствии с </w:t>
      </w:r>
      <w:hyperlink w:history="0" w:anchor="P376" w:tooltip="2.18. Участник отбора, представивший заявочные документы на участие в отборе, вправе в любое время до рассмотрения заявочных документов на заседании Комиссии:">
        <w:r>
          <w:rPr>
            <w:sz w:val="20"/>
            <w:color w:val="0000ff"/>
          </w:rPr>
          <w:t xml:space="preserve">пунктом 2.18</w:t>
        </w:r>
      </w:hyperlink>
      <w:r>
        <w:rPr>
          <w:sz w:val="20"/>
        </w:rPr>
        <w:t xml:space="preserve"> настоящего Порядка;</w:t>
      </w:r>
    </w:p>
    <w:p>
      <w:pPr>
        <w:pStyle w:val="0"/>
        <w:spacing w:before="200" w:line-rule="auto"/>
        <w:ind w:firstLine="540"/>
        <w:jc w:val="both"/>
      </w:pPr>
      <w:hyperlink w:history="0" r:id="rId61"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9</w:t>
        </w:r>
      </w:hyperlink>
      <w:r>
        <w:rPr>
          <w:sz w:val="20"/>
        </w:rPr>
        <w:t xml:space="preserve">) правил рассмотрения и оценки заявочных документов участников отбора в соответствии с </w:t>
      </w:r>
      <w:hyperlink w:history="0" w:anchor="P222" w:tooltip="2.10. Фонд в рамках проведения отбора:">
        <w:r>
          <w:rPr>
            <w:sz w:val="20"/>
            <w:color w:val="0000ff"/>
          </w:rPr>
          <w:t xml:space="preserve">пунктами 2.10</w:t>
        </w:r>
      </w:hyperlink>
      <w:r>
        <w:rPr>
          <w:sz w:val="20"/>
        </w:rPr>
        <w:t xml:space="preserve">, </w:t>
      </w:r>
      <w:hyperlink w:history="0" w:anchor="P259" w:tooltip="2.13. Комиссия рассматривает документы, направленные Фондом в соответствии с пунктом 2.10.6 настоящего Порядка, а также заслушивает представление проекта участником отбора (в случае очного заседания Комиссии) на заседании Комиссии, в срок, указанный в объявлении о проведении отбора в соответствии с пунктом 2.2 настоящего Порядка.">
        <w:r>
          <w:rPr>
            <w:sz w:val="20"/>
            <w:color w:val="0000ff"/>
          </w:rPr>
          <w:t xml:space="preserve">2.13</w:t>
        </w:r>
      </w:hyperlink>
      <w:r>
        <w:rPr>
          <w:sz w:val="20"/>
        </w:rPr>
        <w:t xml:space="preserve"> - </w:t>
      </w:r>
      <w:hyperlink w:history="0" w:anchor="P374" w:tooltip="2.17. Гранты предоставляются участникам отбора, набравшим не менее 7 баллов.">
        <w:r>
          <w:rPr>
            <w:sz w:val="20"/>
            <w:color w:val="0000ff"/>
          </w:rPr>
          <w:t xml:space="preserve">2.17</w:t>
        </w:r>
      </w:hyperlink>
      <w:r>
        <w:rPr>
          <w:sz w:val="20"/>
        </w:rPr>
        <w:t xml:space="preserve"> настоящего Порядка;</w:t>
      </w:r>
    </w:p>
    <w:p>
      <w:pPr>
        <w:pStyle w:val="0"/>
        <w:spacing w:before="200" w:line-rule="auto"/>
        <w:ind w:firstLine="540"/>
        <w:jc w:val="both"/>
      </w:pPr>
      <w:hyperlink w:history="0" r:id="rId62"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10</w:t>
        </w:r>
      </w:hyperlink>
      <w:r>
        <w:rPr>
          <w:sz w:val="20"/>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history="0" w:anchor="P129" w:tooltip="2.2.1. Участник отбора вправе направить в Уполномоченный орган запрос о разъяснении положений объявления о проведении отбора.">
        <w:r>
          <w:rPr>
            <w:sz w:val="20"/>
            <w:color w:val="0000ff"/>
          </w:rPr>
          <w:t xml:space="preserve">пунктом 2.2.1</w:t>
        </w:r>
      </w:hyperlink>
      <w:r>
        <w:rPr>
          <w:sz w:val="20"/>
        </w:rPr>
        <w:t xml:space="preserve"> настоящего Порядка;</w:t>
      </w:r>
    </w:p>
    <w:p>
      <w:pPr>
        <w:pStyle w:val="0"/>
        <w:spacing w:before="200" w:line-rule="auto"/>
        <w:ind w:firstLine="540"/>
        <w:jc w:val="both"/>
      </w:pPr>
      <w:hyperlink w:history="0" r:id="rId63"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11</w:t>
        </w:r>
      </w:hyperlink>
      <w:r>
        <w:rPr>
          <w:sz w:val="20"/>
        </w:rPr>
        <w:t xml:space="preserve">) срока, в течение которого согласно </w:t>
      </w:r>
      <w:hyperlink w:history="0" w:anchor="P475" w:tooltip="3.8. В течение 5 рабочих дней со дня, следующего за днем подписания Приказа (Дополнительного решения) директором Уполномоченного органа или лицом, его замещающим, Уполномоченный орган заключает с получателем гранта Соглашение в соответствии с типовой формой, утвержденной Министерством финансов Российской Федерации.">
        <w:r>
          <w:rPr>
            <w:sz w:val="20"/>
            <w:color w:val="0000ff"/>
          </w:rPr>
          <w:t xml:space="preserve">пункту 3.8</w:t>
        </w:r>
      </w:hyperlink>
      <w:r>
        <w:rPr>
          <w:sz w:val="20"/>
        </w:rPr>
        <w:t xml:space="preserve"> настоящего Порядка победитель (победители) отбора должен подписать соглашение о предоставлении гранта (далее - Соглашение);</w:t>
      </w:r>
    </w:p>
    <w:p>
      <w:pPr>
        <w:pStyle w:val="0"/>
        <w:jc w:val="both"/>
      </w:pPr>
      <w:r>
        <w:rPr>
          <w:sz w:val="20"/>
        </w:rPr>
        <w:t xml:space="preserve">(в ред. </w:t>
      </w:r>
      <w:hyperlink w:history="0" r:id="rId6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hyperlink w:history="0" r:id="rId65"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12</w:t>
        </w:r>
      </w:hyperlink>
      <w:r>
        <w:rPr>
          <w:sz w:val="20"/>
        </w:rPr>
        <w:t xml:space="preserve">) условий признания победителя (победителей) отбора уклонившимся от заключения Соглашения в соответствии с </w:t>
      </w:r>
      <w:hyperlink w:history="0" w:anchor="P496" w:tooltip="3.9. В случае неподписания Соглашения получателем гранта с Уполномоченным органом в срок, установленный пунктом 3.8 настоящего Порядка, получатель гранта считается уклонившимся от заключения Соглашения.">
        <w:r>
          <w:rPr>
            <w:sz w:val="20"/>
            <w:color w:val="0000ff"/>
          </w:rPr>
          <w:t xml:space="preserve">пунктом 3.9</w:t>
        </w:r>
      </w:hyperlink>
      <w:r>
        <w:rPr>
          <w:sz w:val="20"/>
        </w:rPr>
        <w:t xml:space="preserve"> настоящего Порядка;</w:t>
      </w:r>
    </w:p>
    <w:p>
      <w:pPr>
        <w:pStyle w:val="0"/>
        <w:jc w:val="both"/>
      </w:pPr>
      <w:r>
        <w:rPr>
          <w:sz w:val="20"/>
        </w:rPr>
        <w:t xml:space="preserve">(в ред. </w:t>
      </w:r>
      <w:hyperlink w:history="0" r:id="rId6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hyperlink w:history="0" r:id="rId67"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13</w:t>
        </w:r>
      </w:hyperlink>
      <w:r>
        <w:rPr>
          <w:sz w:val="20"/>
        </w:rPr>
        <w:t xml:space="preserve">) даты размещения результатов отбора согласно </w:t>
      </w:r>
      <w:hyperlink w:history="0" w:anchor="P383" w:tooltip="2.21. В течение 5 рабочих дней со дня, следующего за днем принятия Уполномоченным органом решения, указанного в пункте 3.1 настоящего Порядка (определение победителя (победителей) отбора), Уполномоченный орган размещает информацию о результатах рассмотрения заявочных документов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а также на Официальном портал...">
        <w:r>
          <w:rPr>
            <w:sz w:val="20"/>
            <w:color w:val="0000ff"/>
          </w:rPr>
          <w:t xml:space="preserve">пунктам 2.21</w:t>
        </w:r>
      </w:hyperlink>
      <w:r>
        <w:rPr>
          <w:sz w:val="20"/>
        </w:rPr>
        <w:t xml:space="preserve">, </w:t>
      </w:r>
      <w:hyperlink w:history="0" w:anchor="P393" w:tooltip="2.22. В случае принятия Уполномоченным органом Дополнительного решения, указанного в абзаце четвертом пункта 3.1 настоящего Порядка, Уполномоченный орган в течение 5 рабочих дней со дня, следующего за днем принятия Дополнительного решения, размещает на едином портале и Официальном портале органов государственной власти Тюменской области в информационно-телекоммуникационной сети &quot;Интернет&quot; (в разделе Уполномоченного органа) информацию о наименовании получателя (получателей) гранта, с которым заключается С...">
        <w:r>
          <w:rPr>
            <w:sz w:val="20"/>
            <w:color w:val="0000ff"/>
          </w:rPr>
          <w:t xml:space="preserve">2.22</w:t>
        </w:r>
      </w:hyperlink>
      <w:r>
        <w:rPr>
          <w:sz w:val="20"/>
        </w:rPr>
        <w:t xml:space="preserve"> настоящего Порядка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на Официальном портале органов государственной власти Тюменской области.</w:t>
      </w:r>
    </w:p>
    <w:p>
      <w:pPr>
        <w:pStyle w:val="0"/>
        <w:jc w:val="both"/>
      </w:pPr>
      <w:r>
        <w:rPr>
          <w:sz w:val="20"/>
        </w:rPr>
        <w:t xml:space="preserve">(в ред. постановлений Правительства Тюменской области от 10.12.2021 </w:t>
      </w:r>
      <w:hyperlink w:history="0" r:id="rId68"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N 816-п</w:t>
        </w:r>
      </w:hyperlink>
      <w:r>
        <w:rPr>
          <w:sz w:val="20"/>
        </w:rPr>
        <w:t xml:space="preserve">, от 09.10.2023 </w:t>
      </w:r>
      <w:hyperlink w:history="0" r:id="rId6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bookmarkStart w:id="129" w:name="P129"/>
    <w:bookmarkEnd w:id="129"/>
    <w:p>
      <w:pPr>
        <w:pStyle w:val="0"/>
        <w:spacing w:before="200" w:line-rule="auto"/>
        <w:ind w:firstLine="540"/>
        <w:jc w:val="both"/>
      </w:pPr>
      <w:r>
        <w:rPr>
          <w:sz w:val="20"/>
        </w:rPr>
        <w:t xml:space="preserve">2.2.1. Участник отбора вправе направить в Уполномоченный орган запрос о разъяснении положений объявления о проведении отбора.</w:t>
      </w:r>
    </w:p>
    <w:p>
      <w:pPr>
        <w:pStyle w:val="0"/>
        <w:spacing w:before="200" w:line-rule="auto"/>
        <w:ind w:firstLine="540"/>
        <w:jc w:val="both"/>
      </w:pPr>
      <w:r>
        <w:rPr>
          <w:sz w:val="20"/>
        </w:rPr>
        <w:t xml:space="preserve">В течение 5 рабочих дней со дня, следующего за днем поступления указанного запроса, Уполномоченный орган обязан направить разъяснения положений объявления о проведении отбора, если указанный запрос поступил в Уполномоченный орган не позднее чем за 5 календарных дней до окончания срока подачи заявочных документов.</w:t>
      </w:r>
    </w:p>
    <w:bookmarkStart w:id="131" w:name="P131"/>
    <w:bookmarkEnd w:id="131"/>
    <w:p>
      <w:pPr>
        <w:pStyle w:val="0"/>
        <w:spacing w:before="200" w:line-rule="auto"/>
        <w:ind w:firstLine="540"/>
        <w:jc w:val="both"/>
      </w:pPr>
      <w:r>
        <w:rPr>
          <w:sz w:val="20"/>
        </w:rPr>
        <w:t xml:space="preserve">2.3. Участники отбора должны соответствовать следующим требованиям:</w:t>
      </w:r>
    </w:p>
    <w:bookmarkStart w:id="132" w:name="P132"/>
    <w:bookmarkEnd w:id="132"/>
    <w:p>
      <w:pPr>
        <w:pStyle w:val="0"/>
        <w:spacing w:before="200" w:line-rule="auto"/>
        <w:ind w:firstLine="540"/>
        <w:jc w:val="both"/>
      </w:pPr>
      <w:r>
        <w:rPr>
          <w:sz w:val="20"/>
        </w:rPr>
        <w:t xml:space="preserve">2.3.1. По состоянию на любую дату в течение периода, равного 30 календарным дням, предшествующего дате подачи заявочных документов для получения гранта, включая соответствующую дату подачи таких документов (в случае представления по желанию субъекта предпринимательства документов, предусмотренных </w:t>
      </w:r>
      <w:hyperlink w:history="0" w:anchor="P192" w:tooltip="1)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усмотренную подпунктом 2.3.1 пункта 2.3 настоящего Порядка, заверенная в установленном порядке территориальным органом Федеральной налоговой службы;">
        <w:r>
          <w:rPr>
            <w:sz w:val="20"/>
            <w:color w:val="0000ff"/>
          </w:rPr>
          <w:t xml:space="preserve">подпунктами 1</w:t>
        </w:r>
      </w:hyperlink>
      <w:r>
        <w:rPr>
          <w:sz w:val="20"/>
        </w:rPr>
        <w:t xml:space="preserve">, </w:t>
      </w:r>
      <w:hyperlink w:history="0" w:anchor="P194" w:tooltip="2) справк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предусмотренную подпунктом 2.3.1 пункта 2.3 настоящего Порядка, заверенная в установленном порядке территориальным органом Федеральной налоговой службы;">
        <w:r>
          <w:rPr>
            <w:sz w:val="20"/>
            <w:color w:val="0000ff"/>
          </w:rPr>
          <w:t xml:space="preserve">2 пункта 2.7.2</w:t>
        </w:r>
      </w:hyperlink>
      <w:r>
        <w:rPr>
          <w:sz w:val="20"/>
        </w:rPr>
        <w:t xml:space="preserve"> настоящего Порядка), или в течение периода, равного 11 календарным дням со дня, следующего за днем окончания приема заявочных документов (в случае непредставления субъектом предпринимательства документов, предусмотренных </w:t>
      </w:r>
      <w:hyperlink w:history="0" w:anchor="P192" w:tooltip="1)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усмотренную подпунктом 2.3.1 пункта 2.3 настоящего Порядка, заверенная в установленном порядке территориальным органом Федеральной налоговой службы;">
        <w:r>
          <w:rPr>
            <w:sz w:val="20"/>
            <w:color w:val="0000ff"/>
          </w:rPr>
          <w:t xml:space="preserve">подпунктами 1</w:t>
        </w:r>
      </w:hyperlink>
      <w:r>
        <w:rPr>
          <w:sz w:val="20"/>
        </w:rPr>
        <w:t xml:space="preserve">, </w:t>
      </w:r>
      <w:hyperlink w:history="0" w:anchor="P194" w:tooltip="2) справк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предусмотренную подпунктом 2.3.1 пункта 2.3 настоящего Порядка, заверенная в установленном порядке территориальным органом Федеральной налоговой службы;">
        <w:r>
          <w:rPr>
            <w:sz w:val="20"/>
            <w:color w:val="0000ff"/>
          </w:rPr>
          <w:t xml:space="preserve">2 пункта 2.7.2</w:t>
        </w:r>
      </w:hyperlink>
      <w:r>
        <w:rPr>
          <w:sz w:val="20"/>
        </w:rPr>
        <w:t xml:space="preserve"> настоящего Порядка),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pPr>
        <w:pStyle w:val="0"/>
        <w:jc w:val="both"/>
      </w:pPr>
      <w:r>
        <w:rPr>
          <w:sz w:val="20"/>
        </w:rPr>
        <w:t xml:space="preserve">(в ред. постановлений Правительства Тюменской области от 20.06.2022 </w:t>
      </w:r>
      <w:hyperlink w:history="0" r:id="rId7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20.12.2022 </w:t>
      </w:r>
      <w:hyperlink w:history="0" r:id="rId71"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rPr>
        <w:t xml:space="preserve">, от 09.10.2023 </w:t>
      </w:r>
      <w:hyperlink w:history="0" r:id="rId7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Абзац исключен. - </w:t>
      </w:r>
      <w:hyperlink w:history="0" r:id="rId7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2.3.2. На дату не ранее 30 календарных дней до дня подачи заявочных документов (в случае представления по желанию субъекта предпринимательства документа, предусмотренного </w:t>
      </w:r>
      <w:hyperlink w:history="0" w:anchor="P196" w:tooltip="3)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ая территориальным органом Фонда пенсионного и социального страхования Российской Федерации.">
        <w:r>
          <w:rPr>
            <w:sz w:val="20"/>
            <w:color w:val="0000ff"/>
          </w:rPr>
          <w:t xml:space="preserve">подпунктом 3 пункта 2.7.2</w:t>
        </w:r>
      </w:hyperlink>
      <w:r>
        <w:rPr>
          <w:sz w:val="20"/>
        </w:rPr>
        <w:t xml:space="preserve"> настоящего Порядка) или на дату рассмотрения заявочных документов (в случае непредставления субъектом предпринимательства документа, предусмотренного </w:t>
      </w:r>
      <w:hyperlink w:history="0" w:anchor="P196" w:tooltip="3)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ая территориальным органом Фонда пенсионного и социального страхования Российской Федерации.">
        <w:r>
          <w:rPr>
            <w:sz w:val="20"/>
            <w:color w:val="0000ff"/>
          </w:rPr>
          <w:t xml:space="preserve">подпунктом 3 пункта 2.7.2</w:t>
        </w:r>
      </w:hyperlink>
      <w:r>
        <w:rPr>
          <w:sz w:val="20"/>
        </w:rPr>
        <w:t xml:space="preserve"> настоящего Порядка) у участника отбора должна отсутствовать неисполненная обязанность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0"/>
        <w:jc w:val="both"/>
      </w:pPr>
      <w:r>
        <w:rPr>
          <w:sz w:val="20"/>
        </w:rPr>
        <w:t xml:space="preserve">(пп. 2.3.2 введен </w:t>
      </w:r>
      <w:hyperlink w:history="0" r:id="rId74"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04.03.2022 N 107-п; в ред. </w:t>
      </w:r>
      <w:hyperlink w:history="0" r:id="rId7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hyperlink w:history="0" r:id="rId76"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2.3.3</w:t>
        </w:r>
      </w:hyperlink>
      <w:r>
        <w:rPr>
          <w:sz w:val="20"/>
        </w:rPr>
        <w:t xml:space="preserve">. На дату подачи заявочных документов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Тюменской области, и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hyperlink w:history="0" r:id="rId77"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2.3.4</w:t>
        </w:r>
      </w:hyperlink>
      <w:r>
        <w:rPr>
          <w:sz w:val="20"/>
        </w:rPr>
        <w:t xml:space="preserve">. На дату подачи заявочных документов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0"/>
        <w:jc w:val="both"/>
      </w:pPr>
      <w:r>
        <w:rPr>
          <w:sz w:val="20"/>
        </w:rPr>
        <w:t xml:space="preserve">(в ред. </w:t>
      </w:r>
      <w:hyperlink w:history="0" r:id="rId7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2.3.5. На дату подачи заявочных документов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2.3.5 в ред. </w:t>
      </w:r>
      <w:hyperlink w:history="0" r:id="rId7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hyperlink w:history="0" r:id="rId80"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2.3.6</w:t>
        </w:r>
      </w:hyperlink>
      <w:r>
        <w:rPr>
          <w:sz w:val="20"/>
        </w:rPr>
        <w:t xml:space="preserve">. На дату подачи заявочных документов участники отбора не должны получать средства из бюджета бюджетной системы Российской Федерации, из которого планируется предоставление гранта в соответствии с правовым актом, на основании иных нормативных правовых актов или муниципальных правовых актов на расходы, указанные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пунктах 3.7.1</w:t>
        </w:r>
      </w:hyperlink>
      <w:r>
        <w:rPr>
          <w:sz w:val="20"/>
        </w:rPr>
        <w:t xml:space="preserve">, </w:t>
      </w:r>
      <w:hyperlink w:history="0" w:anchor="P456" w:tooltip="3.7.2. Дополнительно к расходам, указанным в пункте 3.7.1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
        <w:r>
          <w:rPr>
            <w:sz w:val="20"/>
            <w:color w:val="0000ff"/>
          </w:rPr>
          <w:t xml:space="preserve">3.7.2</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20.06.2022 </w:t>
      </w:r>
      <w:hyperlink w:history="0" r:id="rId81"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8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hyperlink w:history="0" r:id="rId83"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2.3.7</w:t>
        </w:r>
      </w:hyperlink>
      <w:r>
        <w:rPr>
          <w:sz w:val="20"/>
        </w:rPr>
        <w:t xml:space="preserve">. На дату подачи заявочных документов участником отбора отсутствуют основания, предусмотренные </w:t>
      </w:r>
      <w:hyperlink w:history="0" r:id="rId8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пунктами 3</w:t>
        </w:r>
      </w:hyperlink>
      <w:r>
        <w:rPr>
          <w:sz w:val="20"/>
        </w:rPr>
        <w:t xml:space="preserve"> - </w:t>
      </w:r>
      <w:hyperlink w:history="0" r:id="rId8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5 статьи 14</w:t>
        </w:r>
      </w:hyperlink>
      <w:r>
        <w:rPr>
          <w:sz w:val="20"/>
        </w:rPr>
        <w:t xml:space="preserve"> Федерального закона N 209-ФЗ.</w:t>
      </w:r>
    </w:p>
    <w:p>
      <w:pPr>
        <w:pStyle w:val="0"/>
        <w:spacing w:before="200" w:line-rule="auto"/>
        <w:ind w:firstLine="540"/>
        <w:jc w:val="both"/>
      </w:pPr>
      <w:hyperlink w:history="0" r:id="rId86"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2.3.8</w:t>
        </w:r>
      </w:hyperlink>
      <w:r>
        <w:rPr>
          <w:sz w:val="20"/>
        </w:rPr>
        <w:t xml:space="preserve">. На дату подачи заявочных документов социальным предприятием на реализацию проекта в сфере социального предпринимательства участник отбора признан социальным предприятием в порядке, установленном в соответствии с </w:t>
      </w:r>
      <w:hyperlink w:history="0" r:id="rId87"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3 статьи 24.1</w:t>
        </w:r>
      </w:hyperlink>
      <w:r>
        <w:rPr>
          <w:sz w:val="20"/>
        </w:rPr>
        <w:t xml:space="preserve"> Федерального закона N 209-ФЗ:</w:t>
      </w:r>
    </w:p>
    <w:p>
      <w:pPr>
        <w:pStyle w:val="0"/>
        <w:jc w:val="both"/>
      </w:pPr>
      <w:r>
        <w:rPr>
          <w:sz w:val="20"/>
        </w:rPr>
        <w:t xml:space="preserve">(в ред. </w:t>
      </w:r>
      <w:hyperlink w:history="0" r:id="rId8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hyperlink w:history="0" r:id="rId89"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2.3.8.1</w:t>
        </w:r>
      </w:hyperlink>
      <w:r>
        <w:rPr>
          <w:sz w:val="20"/>
        </w:rPr>
        <w:t xml:space="preserve">. Субъект МСП, впервые признанный социальным предприятием, прошел обучение в рамках обучающей программы или акселерационной программы в течение года до даты подачи заявочных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Тюменской области, Центром инноваций социальной сферы Тюменской области или АО "Корпорация "МСП", в целях допуска социального предприятия к защите проекта в сфере социального предпринимательства к конкурсному отбору;</w:t>
      </w:r>
    </w:p>
    <w:p>
      <w:pPr>
        <w:pStyle w:val="0"/>
        <w:jc w:val="both"/>
      </w:pPr>
      <w:r>
        <w:rPr>
          <w:sz w:val="20"/>
        </w:rPr>
        <w:t xml:space="preserve">(в ред. </w:t>
      </w:r>
      <w:hyperlink w:history="0" r:id="rId9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hyperlink w:history="0" r:id="rId91"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2.3.8.2</w:t>
        </w:r>
      </w:hyperlink>
      <w:r>
        <w:rPr>
          <w:sz w:val="20"/>
        </w:rPr>
        <w:t xml:space="preserve">. Субъект МСП, подтвердивший статус социального предприятия, реализует ранее созданный проект в сфере социального предпринимательства.</w:t>
      </w:r>
    </w:p>
    <w:p>
      <w:pPr>
        <w:pStyle w:val="0"/>
        <w:spacing w:before="200" w:line-rule="auto"/>
        <w:ind w:firstLine="540"/>
        <w:jc w:val="both"/>
      </w:pPr>
      <w:r>
        <w:rPr>
          <w:sz w:val="20"/>
        </w:rPr>
        <w:t xml:space="preserve">2.3.9. На дату подачи заявочных документов молодым предпринимателем на реализацию проекта в сфере предпринимательской деятельности:</w:t>
      </w:r>
    </w:p>
    <w:bookmarkStart w:id="151" w:name="P151"/>
    <w:bookmarkEnd w:id="151"/>
    <w:p>
      <w:pPr>
        <w:pStyle w:val="0"/>
        <w:spacing w:before="200" w:line-rule="auto"/>
        <w:ind w:firstLine="540"/>
        <w:jc w:val="both"/>
      </w:pPr>
      <w:r>
        <w:rPr>
          <w:sz w:val="20"/>
        </w:rPr>
        <w:t xml:space="preserve">2.3.9.1. Субъект МСП создан физическим лицом до 25 лет включительно (физическое лицо в возрасте до 25 лет (включительно) на дату подачи документов (на дату поступления заявочных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pPr>
        <w:pStyle w:val="0"/>
        <w:jc w:val="both"/>
      </w:pPr>
      <w:r>
        <w:rPr>
          <w:sz w:val="20"/>
        </w:rPr>
        <w:t xml:space="preserve">(в ред. постановлений Правительства Тюменской области от 20.12.2022 </w:t>
      </w:r>
      <w:hyperlink w:history="0" r:id="rId92"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rPr>
        <w:t xml:space="preserve">, от 09.10.2023 </w:t>
      </w:r>
      <w:hyperlink w:history="0" r:id="rId9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2.3.9.2. Субъект МСП, соответствующий </w:t>
      </w:r>
      <w:hyperlink w:history="0" w:anchor="P151" w:tooltip="2.3.9.1. Субъект МСП создан физическим лицом до 25 лет включительно (физическое лицо в возрасте до 25 лет (включительно) на дату подачи документов (на дату поступления заявочных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w:r>
          <w:rPr>
            <w:sz w:val="20"/>
            <w:color w:val="0000ff"/>
          </w:rPr>
          <w:t xml:space="preserve">подпункту 2.3.9.1 пункта 2.3.9</w:t>
        </w:r>
      </w:hyperlink>
      <w:r>
        <w:rPr>
          <w:sz w:val="20"/>
        </w:rPr>
        <w:t xml:space="preserve"> настоящего Порядка, в течение года до даты подачи документов для получения гранта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в качестве субъекта МСП и (или) физического лица, заинтересованного в начале осуществления предпринимательской деятельности.</w:t>
      </w:r>
    </w:p>
    <w:p>
      <w:pPr>
        <w:pStyle w:val="0"/>
        <w:jc w:val="both"/>
      </w:pPr>
      <w:r>
        <w:rPr>
          <w:sz w:val="20"/>
        </w:rPr>
        <w:t xml:space="preserve">(пп. 2.3.9.2 в ред. </w:t>
      </w:r>
      <w:hyperlink w:history="0" r:id="rId9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jc w:val="both"/>
      </w:pPr>
      <w:r>
        <w:rPr>
          <w:sz w:val="20"/>
        </w:rPr>
        <w:t xml:space="preserve">(пп. 2.3.9 введен </w:t>
      </w:r>
      <w:hyperlink w:history="0" r:id="rId95"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p>
      <w:pPr>
        <w:pStyle w:val="0"/>
        <w:spacing w:before="200" w:line-rule="auto"/>
        <w:ind w:firstLine="540"/>
        <w:jc w:val="both"/>
      </w:pPr>
      <w:hyperlink w:history="0" r:id="rId9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2.3.10</w:t>
        </w:r>
      </w:hyperlink>
      <w:r>
        <w:rPr>
          <w:sz w:val="20"/>
        </w:rPr>
        <w:t xml:space="preserve">. На дату подачи заявочных документов участник отбора не получал грант в соответствии с настоящим Порядком.</w:t>
      </w:r>
    </w:p>
    <w:p>
      <w:pPr>
        <w:pStyle w:val="0"/>
        <w:spacing w:before="200" w:line-rule="auto"/>
        <w:ind w:firstLine="540"/>
        <w:jc w:val="both"/>
      </w:pPr>
      <w:r>
        <w:rPr>
          <w:sz w:val="20"/>
        </w:rPr>
        <w:t xml:space="preserve">2.3.11. На любую дату в течение 15 рабочих дней со дня, следующего за днем окончания приема заявочных документов,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w:t>
      </w:r>
      <w:hyperlink w:history="0" r:id="rId9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С целью проверки соответствия участника отбора требованию, предусмотренному настоящим подпунктом, Фонд осуществляет данную проверку посредством официального сайта Федеральной службы по финансовому мониторингу (</w:t>
      </w:r>
      <w:r>
        <w:rPr>
          <w:sz w:val="20"/>
        </w:rPr>
        <w:t xml:space="preserve">https://www.fedsfm.ru</w:t>
      </w:r>
      <w:r>
        <w:rPr>
          <w:sz w:val="20"/>
        </w:rPr>
        <w:t xml:space="preserve">).</w:t>
      </w:r>
    </w:p>
    <w:p>
      <w:pPr>
        <w:pStyle w:val="0"/>
        <w:jc w:val="both"/>
      </w:pPr>
      <w:r>
        <w:rPr>
          <w:sz w:val="20"/>
        </w:rPr>
        <w:t xml:space="preserve">(абзац введен </w:t>
      </w:r>
      <w:hyperlink w:history="0" r:id="rId98"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20.12.2022 N 964-п)</w:t>
      </w:r>
    </w:p>
    <w:p>
      <w:pPr>
        <w:pStyle w:val="0"/>
        <w:jc w:val="both"/>
      </w:pPr>
      <w:r>
        <w:rPr>
          <w:sz w:val="20"/>
        </w:rPr>
        <w:t xml:space="preserve">(пп. 2.3.11 введен </w:t>
      </w:r>
      <w:hyperlink w:history="0" r:id="rId9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2.3.12. Исключен. - </w:t>
      </w:r>
      <w:hyperlink w:history="0" r:id="rId10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w:t>
        </w:r>
      </w:hyperlink>
      <w:r>
        <w:rPr>
          <w:sz w:val="20"/>
        </w:rPr>
        <w:t xml:space="preserve"> Правительства Тюменской области от 09.10.2023 N 653-п.</w:t>
      </w:r>
    </w:p>
    <w:bookmarkStart w:id="163" w:name="P163"/>
    <w:bookmarkEnd w:id="163"/>
    <w:p>
      <w:pPr>
        <w:pStyle w:val="0"/>
        <w:spacing w:before="200" w:line-rule="auto"/>
        <w:ind w:firstLine="540"/>
        <w:jc w:val="both"/>
      </w:pPr>
      <w:r>
        <w:rPr>
          <w:sz w:val="20"/>
        </w:rPr>
        <w:t xml:space="preserve">2.4. Прием заявочных документов, консультирование субъектов МСП о положениях настоящего Порядка осуществляется Фондом или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случае, если между Фондом и МФЦ заключено соглашение о взаимодействии и подача указанных документов предусмотрена перечнем государственных и муниципальных услуг, предоставляемых в МФЦ).</w:t>
      </w:r>
    </w:p>
    <w:p>
      <w:pPr>
        <w:pStyle w:val="0"/>
        <w:spacing w:before="200" w:line-rule="auto"/>
        <w:ind w:firstLine="540"/>
        <w:jc w:val="both"/>
      </w:pPr>
      <w:r>
        <w:rPr>
          <w:sz w:val="20"/>
        </w:rPr>
        <w:t xml:space="preserve">Порядок взаимодействия Фонда и МФЦ регулируется соглашением о взаимодействии, заключаемым между Фондом и МФЦ в рамках Федерального </w:t>
      </w:r>
      <w:hyperlink w:history="0" r:id="rId10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N 210-ФЗ "Об организации предоставления государственных и муниципальных услуг", при условии соответствия МФЦ требованиям, установленным </w:t>
      </w:r>
      <w:hyperlink w:history="0" r:id="rId102"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N 1376.</w:t>
      </w:r>
    </w:p>
    <w:p>
      <w:pPr>
        <w:pStyle w:val="0"/>
        <w:spacing w:before="200" w:line-rule="auto"/>
        <w:ind w:firstLine="540"/>
        <w:jc w:val="both"/>
      </w:pPr>
      <w:r>
        <w:rPr>
          <w:sz w:val="20"/>
        </w:rPr>
        <w:t xml:space="preserve">Заявочные документы могут быть представлены в Фонд или МФЦ участниками отбора:</w:t>
      </w:r>
    </w:p>
    <w:p>
      <w:pPr>
        <w:pStyle w:val="0"/>
        <w:spacing w:before="200" w:line-rule="auto"/>
        <w:ind w:firstLine="540"/>
        <w:jc w:val="both"/>
      </w:pPr>
      <w:r>
        <w:rPr>
          <w:sz w:val="20"/>
        </w:rPr>
        <w:t xml:space="preserve">- лично (путем обращения лица, имеющего право действовать от имени субъекта предпринимательства без доверенности);</w:t>
      </w:r>
    </w:p>
    <w:p>
      <w:pPr>
        <w:pStyle w:val="0"/>
        <w:spacing w:before="200" w:line-rule="auto"/>
        <w:ind w:firstLine="540"/>
        <w:jc w:val="both"/>
      </w:pPr>
      <w:r>
        <w:rPr>
          <w:sz w:val="20"/>
        </w:rPr>
        <w:t xml:space="preserve">- через представителя (путем обращения лица, действующего от имени субъекта предпринимательства на основании доверенности).</w:t>
      </w:r>
    </w:p>
    <w:p>
      <w:pPr>
        <w:pStyle w:val="0"/>
        <w:spacing w:before="200" w:line-rule="auto"/>
        <w:ind w:firstLine="540"/>
        <w:jc w:val="both"/>
      </w:pPr>
      <w:r>
        <w:rPr>
          <w:sz w:val="20"/>
        </w:rPr>
        <w:t xml:space="preserve">Заявочные документы также могут быть направлены в Фонд в виде почтового отправления с описью вложения.</w:t>
      </w:r>
    </w:p>
    <w:bookmarkStart w:id="169" w:name="P169"/>
    <w:bookmarkEnd w:id="169"/>
    <w:p>
      <w:pPr>
        <w:pStyle w:val="0"/>
        <w:spacing w:before="200" w:line-rule="auto"/>
        <w:ind w:firstLine="540"/>
        <w:jc w:val="both"/>
      </w:pPr>
      <w:r>
        <w:rPr>
          <w:sz w:val="20"/>
        </w:rPr>
        <w:t xml:space="preserve">2.5. Днем обращения субъекта предпринимательства в целях участия в отборе считается дата поступления в Фонд заявки с приложенными к ней документами, которая подлежит регистрации в день поступления.</w:t>
      </w:r>
    </w:p>
    <w:p>
      <w:pPr>
        <w:pStyle w:val="0"/>
        <w:spacing w:before="200" w:line-rule="auto"/>
        <w:ind w:firstLine="540"/>
        <w:jc w:val="both"/>
      </w:pPr>
      <w:r>
        <w:rPr>
          <w:sz w:val="20"/>
        </w:rPr>
        <w:t xml:space="preserve">При подаче заявочных документов в Фонд выдается копия заявки с указанием: регистрационного номера заявочных документов; даты и времени поступления заявочных документов; ФИО, должности специалиста, принявшего документы.</w:t>
      </w:r>
    </w:p>
    <w:p>
      <w:pPr>
        <w:pStyle w:val="0"/>
        <w:spacing w:before="200" w:line-rule="auto"/>
        <w:ind w:firstLine="540"/>
        <w:jc w:val="both"/>
      </w:pPr>
      <w:r>
        <w:rPr>
          <w:sz w:val="20"/>
        </w:rPr>
        <w:t xml:space="preserve">Фонд фиксирует факт поступления заявочных документов в порядке очередности в журнале регистрации. В журнале регистрации прописывается: наименование субъекта предпринимательства, ИНН субъекта предпринимательства, точная дата и время поступления заявочных документов.</w:t>
      </w:r>
    </w:p>
    <w:bookmarkStart w:id="172" w:name="P172"/>
    <w:bookmarkEnd w:id="172"/>
    <w:p>
      <w:pPr>
        <w:pStyle w:val="0"/>
        <w:spacing w:before="200" w:line-rule="auto"/>
        <w:ind w:firstLine="540"/>
        <w:jc w:val="both"/>
      </w:pPr>
      <w:r>
        <w:rPr>
          <w:sz w:val="20"/>
        </w:rPr>
        <w:t xml:space="preserve">2.6. Заявочные документы, представленные лично, через представителя, на почтовый адрес Фонда не в соответствии с отраженной в заявке описью документов, либо направленные, при наличии уже зарегистрированных заявочных документов от данного субъекта МСП, возвращаются Фондом без регистрации в течение 5 рабочих дней со дня, следующего за днем их получения Фондом.</w:t>
      </w:r>
    </w:p>
    <w:p>
      <w:pPr>
        <w:pStyle w:val="0"/>
        <w:spacing w:before="200" w:line-rule="auto"/>
        <w:ind w:firstLine="540"/>
        <w:jc w:val="both"/>
      </w:pPr>
      <w:r>
        <w:rPr>
          <w:sz w:val="20"/>
        </w:rPr>
        <w:t xml:space="preserve">Документы возвращаются одним из следующих способов:</w:t>
      </w:r>
    </w:p>
    <w:p>
      <w:pPr>
        <w:pStyle w:val="0"/>
        <w:spacing w:before="200" w:line-rule="auto"/>
        <w:ind w:firstLine="540"/>
        <w:jc w:val="both"/>
      </w:pPr>
      <w:r>
        <w:rPr>
          <w:sz w:val="20"/>
        </w:rPr>
        <w:t xml:space="preserve">1) лично лицу, имеющему право представлять интересы субъекта предпринимательства без доверенности;</w:t>
      </w:r>
    </w:p>
    <w:p>
      <w:pPr>
        <w:pStyle w:val="0"/>
        <w:spacing w:before="200" w:line-rule="auto"/>
        <w:ind w:firstLine="540"/>
        <w:jc w:val="both"/>
      </w:pPr>
      <w:r>
        <w:rPr>
          <w:sz w:val="20"/>
        </w:rPr>
        <w:t xml:space="preserve">2) лично лицу, имеющему право представлять интересы субъекта предпринимательства при наличии соответствующей доверенности;</w:t>
      </w:r>
    </w:p>
    <w:p>
      <w:pPr>
        <w:pStyle w:val="0"/>
        <w:spacing w:before="200" w:line-rule="auto"/>
        <w:ind w:firstLine="540"/>
        <w:jc w:val="both"/>
      </w:pPr>
      <w:r>
        <w:rPr>
          <w:sz w:val="20"/>
        </w:rPr>
        <w:t xml:space="preserve">3) посредством почтовой связи на юридический адрес субъекта предпринимательства, указанный в заявочных документах.</w:t>
      </w:r>
    </w:p>
    <w:p>
      <w:pPr>
        <w:pStyle w:val="0"/>
        <w:spacing w:before="200" w:line-rule="auto"/>
        <w:ind w:firstLine="540"/>
        <w:jc w:val="both"/>
      </w:pPr>
      <w:r>
        <w:rPr>
          <w:sz w:val="20"/>
        </w:rPr>
        <w:t xml:space="preserve">Фонд готовит уведомление об отказе в регистрации документов с указанием даты и причин отказа.</w:t>
      </w:r>
    </w:p>
    <w:p>
      <w:pPr>
        <w:pStyle w:val="0"/>
        <w:spacing w:before="200" w:line-rule="auto"/>
        <w:ind w:firstLine="540"/>
        <w:jc w:val="both"/>
      </w:pPr>
      <w:r>
        <w:rPr>
          <w:sz w:val="20"/>
        </w:rPr>
        <w:t xml:space="preserve">Возврат документов, представленных не в соответствии с отраженной в заявке описью документов, не является препятствием для повторной подачи документов в целях получения гранта в сроки, установленные в объявлении о проведении отбора.</w:t>
      </w:r>
    </w:p>
    <w:bookmarkStart w:id="179" w:name="P179"/>
    <w:bookmarkEnd w:id="179"/>
    <w:p>
      <w:pPr>
        <w:pStyle w:val="0"/>
        <w:spacing w:before="200" w:line-rule="auto"/>
        <w:ind w:firstLine="540"/>
        <w:jc w:val="both"/>
      </w:pPr>
      <w:r>
        <w:rPr>
          <w:sz w:val="20"/>
        </w:rPr>
        <w:t xml:space="preserve">2.7. Перечень документов, предоставляемых участником отбора в Фонд (далее - заявочные документы).</w:t>
      </w:r>
    </w:p>
    <w:bookmarkStart w:id="180" w:name="P180"/>
    <w:bookmarkEnd w:id="180"/>
    <w:p>
      <w:pPr>
        <w:pStyle w:val="0"/>
        <w:spacing w:before="200" w:line-rule="auto"/>
        <w:ind w:firstLine="540"/>
        <w:jc w:val="both"/>
      </w:pPr>
      <w:r>
        <w:rPr>
          <w:sz w:val="20"/>
        </w:rPr>
        <w:t xml:space="preserve">2.7.1. Обязательными для предоставления в Фонд документами являются:</w:t>
      </w:r>
    </w:p>
    <w:p>
      <w:pPr>
        <w:pStyle w:val="0"/>
        <w:spacing w:before="200" w:line-rule="auto"/>
        <w:ind w:firstLine="540"/>
        <w:jc w:val="both"/>
      </w:pPr>
      <w:r>
        <w:rPr>
          <w:sz w:val="20"/>
        </w:rPr>
        <w:t xml:space="preserve">1) </w:t>
      </w:r>
      <w:hyperlink w:history="0" w:anchor="P661" w:tooltip="ЗАЯВКА">
        <w:r>
          <w:rPr>
            <w:sz w:val="20"/>
            <w:color w:val="0000ff"/>
          </w:rPr>
          <w:t xml:space="preserve">заявка</w:t>
        </w:r>
      </w:hyperlink>
      <w:r>
        <w:rPr>
          <w:sz w:val="20"/>
        </w:rPr>
        <w:t xml:space="preserve"> на участие в конкурсном отборе на бумажном носителе по форме в соответствии с приложением N 1 к настоящему Порядку (далее - заявка);</w:t>
      </w:r>
    </w:p>
    <w:p>
      <w:pPr>
        <w:pStyle w:val="0"/>
        <w:spacing w:before="200" w:line-rule="auto"/>
        <w:ind w:firstLine="540"/>
        <w:jc w:val="both"/>
      </w:pPr>
      <w:r>
        <w:rPr>
          <w:sz w:val="20"/>
        </w:rPr>
        <w:t xml:space="preserve">2) разработанный </w:t>
      </w:r>
      <w:hyperlink w:history="0" w:anchor="P818" w:tooltip="ПРОЕКТ">
        <w:r>
          <w:rPr>
            <w:sz w:val="20"/>
            <w:color w:val="0000ff"/>
          </w:rPr>
          <w:t xml:space="preserve">проект</w:t>
        </w:r>
      </w:hyperlink>
      <w:r>
        <w:rPr>
          <w:sz w:val="20"/>
        </w:rPr>
        <w:t xml:space="preserve"> в сфере социального предпринимательства по форме согласно приложению N 2 к настоящему Порядку или </w:t>
      </w:r>
      <w:hyperlink w:history="0" w:anchor="P1108" w:tooltip="ПРОЕКТ">
        <w:r>
          <w:rPr>
            <w:sz w:val="20"/>
            <w:color w:val="0000ff"/>
          </w:rPr>
          <w:t xml:space="preserve">проект</w:t>
        </w:r>
      </w:hyperlink>
      <w:r>
        <w:rPr>
          <w:sz w:val="20"/>
        </w:rPr>
        <w:t xml:space="preserve"> в сфере предпринимательской деятельности по форме согласно приложению N 3 к настоящему Порядку.</w:t>
      </w:r>
    </w:p>
    <w:p>
      <w:pPr>
        <w:pStyle w:val="0"/>
        <w:spacing w:before="200" w:line-rule="auto"/>
        <w:ind w:firstLine="540"/>
        <w:jc w:val="both"/>
      </w:pPr>
      <w:r>
        <w:rPr>
          <w:sz w:val="20"/>
        </w:rPr>
        <w:t xml:space="preserve">План расходования средств на реализацию проекта, являющийся составной </w:t>
      </w:r>
      <w:hyperlink w:history="0" w:anchor="P818" w:tooltip="ПРОЕКТ">
        <w:r>
          <w:rPr>
            <w:sz w:val="20"/>
            <w:color w:val="0000ff"/>
          </w:rPr>
          <w:t xml:space="preserve">частью проекта</w:t>
        </w:r>
      </w:hyperlink>
      <w:r>
        <w:rPr>
          <w:sz w:val="20"/>
        </w:rPr>
        <w:t xml:space="preserve"> в сфере социального предпринимательства по форме согласно приложению N 2 к настоящему Порядку или </w:t>
      </w:r>
      <w:hyperlink w:history="0" w:anchor="P1108" w:tooltip="ПРОЕКТ">
        <w:r>
          <w:rPr>
            <w:sz w:val="20"/>
            <w:color w:val="0000ff"/>
          </w:rPr>
          <w:t xml:space="preserve">проекта</w:t>
        </w:r>
      </w:hyperlink>
      <w:r>
        <w:rPr>
          <w:sz w:val="20"/>
        </w:rPr>
        <w:t xml:space="preserve"> в сфере предпринимательской деятельности по форме согласно приложению N 3 к настоящему Порядку, должен включать в себя исключительно расходы, указанные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пунктах 3.7.1</w:t>
        </w:r>
      </w:hyperlink>
      <w:r>
        <w:rPr>
          <w:sz w:val="20"/>
        </w:rPr>
        <w:t xml:space="preserve">, </w:t>
      </w:r>
      <w:hyperlink w:history="0" w:anchor="P456" w:tooltip="3.7.2. Дополнительно к расходам, указанным в пункте 3.7.1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
        <w:r>
          <w:rPr>
            <w:sz w:val="20"/>
            <w:color w:val="0000ff"/>
          </w:rPr>
          <w:t xml:space="preserve">3.7.2</w:t>
        </w:r>
      </w:hyperlink>
      <w:r>
        <w:rPr>
          <w:sz w:val="20"/>
        </w:rPr>
        <w:t xml:space="preserve"> настоящего Порядка, без учета (за исключением) налога на добавленную стоимость (далее - НДС);</w:t>
      </w:r>
    </w:p>
    <w:p>
      <w:pPr>
        <w:pStyle w:val="0"/>
        <w:jc w:val="both"/>
      </w:pPr>
      <w:r>
        <w:rPr>
          <w:sz w:val="20"/>
        </w:rPr>
        <w:t xml:space="preserve">(в ред. </w:t>
      </w:r>
      <w:hyperlink w:history="0" r:id="rId10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3) </w:t>
      </w:r>
      <w:hyperlink w:history="0" w:anchor="P1460" w:tooltip="                 Согласие на обработку персональных данных">
        <w:r>
          <w:rPr>
            <w:sz w:val="20"/>
            <w:color w:val="0000ff"/>
          </w:rPr>
          <w:t xml:space="preserve">согласие</w:t>
        </w:r>
      </w:hyperlink>
      <w:r>
        <w:rPr>
          <w:sz w:val="20"/>
        </w:rPr>
        <w:t xml:space="preserve"> на обработку персональных данных руководителя организации/ индивидуального предпринимателя согласно приложению N 4 к настоящему Порядку с датой заполнения;</w:t>
      </w:r>
    </w:p>
    <w:p>
      <w:pPr>
        <w:pStyle w:val="0"/>
        <w:spacing w:before="200" w:line-rule="auto"/>
        <w:ind w:firstLine="540"/>
        <w:jc w:val="both"/>
      </w:pPr>
      <w:r>
        <w:rPr>
          <w:sz w:val="20"/>
        </w:rPr>
        <w:t xml:space="preserve">4) при подаче документов через представителя: копию документа, удостоверяющего полномочия представителя субъекта предпринимательства действовать от имени субъекта предпринимательства и представлять его интересы в Фонде или МФЦ, заверенную руководителем субъекта предпринимательства;</w:t>
      </w:r>
    </w:p>
    <w:p>
      <w:pPr>
        <w:pStyle w:val="0"/>
        <w:spacing w:before="200" w:line-rule="auto"/>
        <w:ind w:firstLine="540"/>
        <w:jc w:val="both"/>
      </w:pPr>
      <w:r>
        <w:rPr>
          <w:sz w:val="20"/>
        </w:rPr>
        <w:t xml:space="preserve">5) для акционерных обществ: информацию (выписку из реестра акционеров, справку, иной документ) на дату не ранее 30 календарных дней до дня подачи заявки, заверенную лицензированным регистратором.</w:t>
      </w:r>
    </w:p>
    <w:p>
      <w:pPr>
        <w:pStyle w:val="0"/>
        <w:jc w:val="both"/>
      </w:pPr>
      <w:r>
        <w:rPr>
          <w:sz w:val="20"/>
        </w:rPr>
        <w:t xml:space="preserve">(в ред. </w:t>
      </w:r>
      <w:hyperlink w:history="0" r:id="rId10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6) исключен. - </w:t>
      </w:r>
      <w:hyperlink w:history="0" r:id="rId10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w:t>
        </w:r>
      </w:hyperlink>
      <w:r>
        <w:rPr>
          <w:sz w:val="20"/>
        </w:rPr>
        <w:t xml:space="preserve"> Правительства Тюменской области от 09.10.2023 N 653-п.</w:t>
      </w:r>
    </w:p>
    <w:p>
      <w:pPr>
        <w:pStyle w:val="0"/>
        <w:jc w:val="both"/>
      </w:pPr>
      <w:r>
        <w:rPr>
          <w:sz w:val="20"/>
        </w:rPr>
        <w:t xml:space="preserve">(пп. 2.7.1 в ред. </w:t>
      </w:r>
      <w:hyperlink w:history="0" r:id="rId10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bookmarkStart w:id="191" w:name="P191"/>
    <w:bookmarkEnd w:id="191"/>
    <w:p>
      <w:pPr>
        <w:pStyle w:val="0"/>
        <w:spacing w:before="200" w:line-rule="auto"/>
        <w:ind w:firstLine="540"/>
        <w:jc w:val="both"/>
      </w:pPr>
      <w:r>
        <w:rPr>
          <w:sz w:val="20"/>
        </w:rPr>
        <w:t xml:space="preserve">2.7.2. Документами, предоставляемыми по желанию в Фонд, являются:</w:t>
      </w:r>
    </w:p>
    <w:bookmarkStart w:id="192" w:name="P192"/>
    <w:bookmarkEnd w:id="192"/>
    <w:p>
      <w:pPr>
        <w:pStyle w:val="0"/>
        <w:spacing w:before="200" w:line-rule="auto"/>
        <w:ind w:firstLine="540"/>
        <w:jc w:val="both"/>
      </w:pPr>
      <w:r>
        <w:rPr>
          <w:sz w:val="20"/>
        </w:rPr>
        <w:t xml:space="preserve">1)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предусмотренную </w:t>
      </w:r>
      <w:hyperlink w:history="0" w:anchor="P132" w:tooltip="2.3.1. По состоянию на любую дату в течение периода, равного 30 календарным дням, предшествующего дате подачи заявочных документов для получения гранта, включая соответствующую дату подачи таких документов (в случае представления по желанию субъекта предпринимательства документов, предусмотренных подпунктами 1, 2 пункта 2.7.2 настоящего Порядка), или в течение периода, равного 11 календарным дням со дня, следующего за днем окончания приема заявочных документов (в случае непредставления субъектом предприн...">
        <w:r>
          <w:rPr>
            <w:sz w:val="20"/>
            <w:color w:val="0000ff"/>
          </w:rPr>
          <w:t xml:space="preserve">подпунктом 2.3.1 пункта 2.3</w:t>
        </w:r>
      </w:hyperlink>
      <w:r>
        <w:rPr>
          <w:sz w:val="20"/>
        </w:rPr>
        <w:t xml:space="preserve"> настоящего Порядка, заверенная в установленном порядке территориальным органом Федеральной налоговой службы;</w:t>
      </w:r>
    </w:p>
    <w:p>
      <w:pPr>
        <w:pStyle w:val="0"/>
        <w:jc w:val="both"/>
      </w:pPr>
      <w:r>
        <w:rPr>
          <w:sz w:val="20"/>
        </w:rPr>
        <w:t xml:space="preserve">(пп. 1 в ред. </w:t>
      </w:r>
      <w:hyperlink w:history="0" r:id="rId10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194" w:name="P194"/>
    <w:bookmarkEnd w:id="194"/>
    <w:p>
      <w:pPr>
        <w:pStyle w:val="0"/>
        <w:spacing w:before="200" w:line-rule="auto"/>
        <w:ind w:firstLine="540"/>
        <w:jc w:val="both"/>
      </w:pPr>
      <w:r>
        <w:rPr>
          <w:sz w:val="20"/>
        </w:rPr>
        <w:t xml:space="preserve">2) справка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предусмотренную </w:t>
      </w:r>
      <w:hyperlink w:history="0" w:anchor="P132" w:tooltip="2.3.1. По состоянию на любую дату в течение периода, равного 30 календарным дням, предшествующего дате подачи заявочных документов для получения гранта, включая соответствующую дату подачи таких документов (в случае представления по желанию субъекта предпринимательства документов, предусмотренных подпунктами 1, 2 пункта 2.7.2 настоящего Порядка), или в течение периода, равного 11 календарным дням со дня, следующего за днем окончания приема заявочных документов (в случае непредставления субъектом предприн...">
        <w:r>
          <w:rPr>
            <w:sz w:val="20"/>
            <w:color w:val="0000ff"/>
          </w:rPr>
          <w:t xml:space="preserve">подпунктом 2.3.1 пункта 2.3</w:t>
        </w:r>
      </w:hyperlink>
      <w:r>
        <w:rPr>
          <w:sz w:val="20"/>
        </w:rPr>
        <w:t xml:space="preserve"> настоящего Порядка, заверенная в установленном порядке территориальным органом Федеральной налоговой службы;</w:t>
      </w:r>
    </w:p>
    <w:p>
      <w:pPr>
        <w:pStyle w:val="0"/>
        <w:jc w:val="both"/>
      </w:pPr>
      <w:r>
        <w:rPr>
          <w:sz w:val="20"/>
        </w:rPr>
        <w:t xml:space="preserve">(пп. 2 введен </w:t>
      </w:r>
      <w:hyperlink w:history="0" r:id="rId10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bookmarkStart w:id="196" w:name="P196"/>
    <w:bookmarkEnd w:id="196"/>
    <w:p>
      <w:pPr>
        <w:pStyle w:val="0"/>
        <w:spacing w:before="200" w:line-rule="auto"/>
        <w:ind w:firstLine="540"/>
        <w:jc w:val="both"/>
      </w:pPr>
      <w:hyperlink w:history="0" r:id="rId10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w:t>
        </w:r>
      </w:hyperlink>
      <w:r>
        <w:rPr>
          <w:sz w:val="20"/>
        </w:rPr>
        <w:t xml:space="preserve">)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заверенная территориальным органом Фонда пенсионного и социального страхования Российской Федерации.</w:t>
      </w:r>
    </w:p>
    <w:p>
      <w:pPr>
        <w:pStyle w:val="0"/>
        <w:jc w:val="both"/>
      </w:pPr>
      <w:r>
        <w:rPr>
          <w:sz w:val="20"/>
        </w:rPr>
        <w:t xml:space="preserve">(подпункт в ред. </w:t>
      </w:r>
      <w:hyperlink w:history="0" r:id="rId110"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bookmarkStart w:id="198" w:name="P198"/>
    <w:bookmarkEnd w:id="198"/>
    <w:p>
      <w:pPr>
        <w:pStyle w:val="0"/>
        <w:spacing w:before="200" w:line-rule="auto"/>
        <w:ind w:firstLine="540"/>
        <w:jc w:val="both"/>
      </w:pPr>
      <w:r>
        <w:rPr>
          <w:sz w:val="20"/>
        </w:rPr>
        <w:t xml:space="preserve">2.7.3. Для получения гранта социальным предприятиям на реализацию проекта в сфере социального предпринимательства участник отбора предоставляет в Фонд в дополнение к документам, предусмотренным </w:t>
      </w:r>
      <w:hyperlink w:history="0" w:anchor="P180" w:tooltip="2.7.1. Обязательными для предоставления в Фонд документами являются:">
        <w:r>
          <w:rPr>
            <w:sz w:val="20"/>
            <w:color w:val="0000ff"/>
          </w:rPr>
          <w:t xml:space="preserve">пунктом 2.7.1</w:t>
        </w:r>
      </w:hyperlink>
      <w:r>
        <w:rPr>
          <w:sz w:val="20"/>
        </w:rPr>
        <w:t xml:space="preserve"> настоящего Порядка, следующие документы:</w:t>
      </w:r>
    </w:p>
    <w:p>
      <w:pPr>
        <w:pStyle w:val="0"/>
        <w:spacing w:before="200" w:line-rule="auto"/>
        <w:ind w:firstLine="540"/>
        <w:jc w:val="both"/>
      </w:pPr>
      <w:r>
        <w:rPr>
          <w:sz w:val="20"/>
        </w:rPr>
        <w:t xml:space="preserve">1) копия документа, подтверждающего наличие собственных (заемных) средств в размере не менее 25 процентов от общего объема расходов на реализацию проекта в сфере социального предпринимательства, предусмотренного согласно </w:t>
      </w:r>
      <w:hyperlink w:history="0" w:anchor="P818" w:tooltip="ПРОЕКТ">
        <w:r>
          <w:rPr>
            <w:sz w:val="20"/>
            <w:color w:val="0000ff"/>
          </w:rPr>
          <w:t xml:space="preserve">приложению N 2</w:t>
        </w:r>
      </w:hyperlink>
      <w:r>
        <w:rPr>
          <w:sz w:val="20"/>
        </w:rPr>
        <w:t xml:space="preserve"> к настоящему Порядку, с отметкой банка, заверенная руководителем субъекта предпринимательства;</w:t>
      </w:r>
    </w:p>
    <w:p>
      <w:pPr>
        <w:pStyle w:val="0"/>
        <w:spacing w:before="200" w:line-rule="auto"/>
        <w:ind w:firstLine="540"/>
        <w:jc w:val="both"/>
      </w:pPr>
      <w:r>
        <w:rPr>
          <w:sz w:val="20"/>
        </w:rPr>
        <w:t xml:space="preserve">2) для субъекта МСП, впервые признанного социальным предприятием: копия документа, подтверждающего прохождение субъектом МСП обучающей программы или акселерационной программы в течение года до даты подачи заявочных документов для получения гранта по направлению осуществления деятельности в сфере социального предпринимательства, заверенная руководителем субъекта предпринимательства.</w:t>
      </w:r>
    </w:p>
    <w:p>
      <w:pPr>
        <w:pStyle w:val="0"/>
        <w:jc w:val="both"/>
      </w:pPr>
      <w:r>
        <w:rPr>
          <w:sz w:val="20"/>
        </w:rPr>
        <w:t xml:space="preserve">(в ред. </w:t>
      </w:r>
      <w:hyperlink w:history="0" r:id="rId11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Документ должен содержать следующие реквизиты: наименование организации, выдавшей документ; наименование образовательной программы; наименование субъекта МСП и (или) физического лица, заинтересованного в начале осуществления предпринимательской деятельности, прошедшего программу; дата выдачи; печать организации, выдавшей документ.</w:t>
      </w:r>
    </w:p>
    <w:p>
      <w:pPr>
        <w:pStyle w:val="0"/>
        <w:jc w:val="both"/>
      </w:pPr>
      <w:r>
        <w:rPr>
          <w:sz w:val="20"/>
        </w:rPr>
        <w:t xml:space="preserve">(в ред. </w:t>
      </w:r>
      <w:hyperlink w:history="0" r:id="rId11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jc w:val="both"/>
      </w:pPr>
      <w:r>
        <w:rPr>
          <w:sz w:val="20"/>
        </w:rPr>
        <w:t xml:space="preserve">(пп. 2.7.3 введен </w:t>
      </w:r>
      <w:hyperlink w:history="0" r:id="rId11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bookmarkStart w:id="205" w:name="P205"/>
    <w:bookmarkEnd w:id="205"/>
    <w:p>
      <w:pPr>
        <w:pStyle w:val="0"/>
        <w:spacing w:before="200" w:line-rule="auto"/>
        <w:ind w:firstLine="540"/>
        <w:jc w:val="both"/>
      </w:pPr>
      <w:r>
        <w:rPr>
          <w:sz w:val="20"/>
        </w:rPr>
        <w:t xml:space="preserve">2.7.4. Для получения гранта молодым предпринимателем на реализацию проекта в сфере предпринимательской деятельности участник отбора предоставляет в Фонд в дополнение к документам, предусмотренным </w:t>
      </w:r>
      <w:hyperlink w:history="0" w:anchor="P180" w:tooltip="2.7.1. Обязательными для предоставления в Фонд документами являются:">
        <w:r>
          <w:rPr>
            <w:sz w:val="20"/>
            <w:color w:val="0000ff"/>
          </w:rPr>
          <w:t xml:space="preserve">пунктом 2.7.1</w:t>
        </w:r>
      </w:hyperlink>
      <w:r>
        <w:rPr>
          <w:sz w:val="20"/>
        </w:rPr>
        <w:t xml:space="preserve"> настоящего Порядка, следующие документы:</w:t>
      </w:r>
    </w:p>
    <w:p>
      <w:pPr>
        <w:pStyle w:val="0"/>
        <w:spacing w:before="200" w:line-rule="auto"/>
        <w:ind w:firstLine="540"/>
        <w:jc w:val="both"/>
      </w:pPr>
      <w:r>
        <w:rPr>
          <w:sz w:val="20"/>
        </w:rPr>
        <w:t xml:space="preserve">1) копия второй и третьей страниц паспорта гражданина Российской Федерации (документ, удостоверяющий личность гражданина Российской Федерации на территории Российской Федерации), физического лица в возрасте до 25 лет (включительно), на дату подачи документов для получения гранта зарегистрированного в качестве индивидуального предпринимателя, или физического лица, входящего в состав учредителей (участников) или акционеров юридического лица в возрасте до 25 лет (включительно) на дату подачи документов для получения гранта, заверенная участником отбора;</w:t>
      </w:r>
    </w:p>
    <w:p>
      <w:pPr>
        <w:pStyle w:val="0"/>
        <w:spacing w:before="200" w:line-rule="auto"/>
        <w:ind w:firstLine="540"/>
        <w:jc w:val="both"/>
      </w:pPr>
      <w:r>
        <w:rPr>
          <w:sz w:val="20"/>
        </w:rPr>
        <w:t xml:space="preserve">2) копия документа, подтверждающего наличие собственных (заемных) средств в размере не менее 25 процентов от общего объема расходов на реализацию проекта в сфере предпринимательской деятельности, предусмотренного согласно </w:t>
      </w:r>
      <w:hyperlink w:history="0" w:anchor="P1108" w:tooltip="ПРОЕКТ">
        <w:r>
          <w:rPr>
            <w:sz w:val="20"/>
            <w:color w:val="0000ff"/>
          </w:rPr>
          <w:t xml:space="preserve">приложению N 3</w:t>
        </w:r>
      </w:hyperlink>
      <w:r>
        <w:rPr>
          <w:sz w:val="20"/>
        </w:rPr>
        <w:t xml:space="preserve"> к настоящему Порядку, с отметкой банка, заверенная руководителем субъекта предпринимательства;</w:t>
      </w:r>
    </w:p>
    <w:p>
      <w:pPr>
        <w:pStyle w:val="0"/>
        <w:spacing w:before="200" w:line-rule="auto"/>
        <w:ind w:firstLine="540"/>
        <w:jc w:val="both"/>
      </w:pPr>
      <w:r>
        <w:rPr>
          <w:sz w:val="20"/>
        </w:rPr>
        <w:t xml:space="preserve">3) копия документа, подтверждающего прохождение субъектом МСП обучающей программы или акселерационной программы в течение года до даты подачи заявочных документов для получения гранта по направлению осуществления деятельности в предпринимательской деятельности, заверенная руководителем субъекта предпринимательства.</w:t>
      </w:r>
    </w:p>
    <w:p>
      <w:pPr>
        <w:pStyle w:val="0"/>
        <w:jc w:val="both"/>
      </w:pPr>
      <w:r>
        <w:rPr>
          <w:sz w:val="20"/>
        </w:rPr>
        <w:t xml:space="preserve">(в ред. </w:t>
      </w:r>
      <w:hyperlink w:history="0" r:id="rId11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Документ должен содержать следующие реквизиты: наименование организации, выдавшей документ; наименование образовательной программы; наименование субъекта МСП и (или) физического лица, заинтересованного в начале осуществления предпринимательской деятельности, прошедшего программу; дата выдачи; печать организации, выдавшей документ.</w:t>
      </w:r>
    </w:p>
    <w:p>
      <w:pPr>
        <w:pStyle w:val="0"/>
        <w:jc w:val="both"/>
      </w:pPr>
      <w:r>
        <w:rPr>
          <w:sz w:val="20"/>
        </w:rPr>
        <w:t xml:space="preserve">(в ред. </w:t>
      </w:r>
      <w:hyperlink w:history="0" r:id="rId11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jc w:val="both"/>
      </w:pPr>
      <w:r>
        <w:rPr>
          <w:sz w:val="20"/>
        </w:rPr>
        <w:t xml:space="preserve">(пп. 2.7.4 введен </w:t>
      </w:r>
      <w:hyperlink w:history="0" r:id="rId11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p>
      <w:pPr>
        <w:pStyle w:val="0"/>
        <w:spacing w:before="200" w:line-rule="auto"/>
        <w:ind w:firstLine="540"/>
        <w:jc w:val="both"/>
      </w:pPr>
      <w:hyperlink w:history="0" r:id="rId11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2.7.5</w:t>
        </w:r>
      </w:hyperlink>
      <w:r>
        <w:rPr>
          <w:sz w:val="20"/>
        </w:rPr>
        <w:t xml:space="preserve">. При заверении соответствия копии документа подлиннику проставляется надпись "Верно", личная подпись, расшифровка подписи (фамилия, инициалы), должность, дата заверения и печать заявителя (при отсутствии печати проставляется отметка "Печать отсутствует").</w:t>
      </w:r>
    </w:p>
    <w:p>
      <w:pPr>
        <w:pStyle w:val="0"/>
        <w:spacing w:before="200" w:line-rule="auto"/>
        <w:ind w:firstLine="540"/>
        <w:jc w:val="both"/>
      </w:pPr>
      <w:r>
        <w:rPr>
          <w:sz w:val="20"/>
        </w:rPr>
        <w:t xml:space="preserve">Отметка банка должна содержать следующие реквизиты: штамп банка, в котором у субъекта МСП открыт расчетный счет, и подпись уполномоченного лица банка.</w:t>
      </w:r>
    </w:p>
    <w:p>
      <w:pPr>
        <w:pStyle w:val="0"/>
        <w:spacing w:before="200" w:line-rule="auto"/>
        <w:ind w:firstLine="540"/>
        <w:jc w:val="both"/>
      </w:pPr>
      <w:r>
        <w:rPr>
          <w:sz w:val="20"/>
        </w:rPr>
        <w:t xml:space="preserve">В случае, если пакет документов не сшивается, то заверению подлежит каждая страница копии документа.</w:t>
      </w:r>
    </w:p>
    <w:bookmarkStart w:id="216" w:name="P216"/>
    <w:bookmarkEnd w:id="216"/>
    <w:p>
      <w:pPr>
        <w:pStyle w:val="0"/>
        <w:spacing w:before="200" w:line-rule="auto"/>
        <w:ind w:firstLine="540"/>
        <w:jc w:val="both"/>
      </w:pPr>
      <w:r>
        <w:rPr>
          <w:sz w:val="20"/>
        </w:rPr>
        <w:t xml:space="preserve">2.8. Каждый участник отбора в течение срока приема заявочных документов, установленного в объявлении о проведении отбора, может подать только одну заявку на один проект в сфере социального предпринимательства или в сфере предпринимательской деятельности.</w:t>
      </w:r>
    </w:p>
    <w:p>
      <w:pPr>
        <w:pStyle w:val="0"/>
        <w:jc w:val="both"/>
      </w:pPr>
      <w:r>
        <w:rPr>
          <w:sz w:val="20"/>
        </w:rPr>
        <w:t xml:space="preserve">(в ред. </w:t>
      </w:r>
      <w:hyperlink w:history="0" r:id="rId11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В случаях подачи заявочных документов после отзыва или изменения заявочных документов, установленных </w:t>
      </w:r>
      <w:hyperlink w:history="0" w:anchor="P376" w:tooltip="2.18. Участник отбора, представивший заявочные документы на участие в отборе, вправе в любое время до рассмотрения заявочных документов на заседании Комиссии:">
        <w:r>
          <w:rPr>
            <w:sz w:val="20"/>
            <w:color w:val="0000ff"/>
          </w:rPr>
          <w:t xml:space="preserve">пунктом 2.18</w:t>
        </w:r>
      </w:hyperlink>
      <w:r>
        <w:rPr>
          <w:sz w:val="20"/>
        </w:rPr>
        <w:t xml:space="preserve"> настоящего Порядка, заявочные документы считаются вновь поданными.</w:t>
      </w:r>
    </w:p>
    <w:p>
      <w:pPr>
        <w:pStyle w:val="0"/>
        <w:spacing w:before="200" w:line-rule="auto"/>
        <w:ind w:firstLine="540"/>
        <w:jc w:val="both"/>
      </w:pPr>
      <w:r>
        <w:rPr>
          <w:sz w:val="20"/>
        </w:rPr>
        <w:t xml:space="preserve">В случае, если участник отбора подает еще один комплект заявочных документов без отзыва ранее направленных заявочных документов, то второй комплект заявочных документов не подлежит регистрации согласно </w:t>
      </w:r>
      <w:hyperlink w:history="0" w:anchor="P172" w:tooltip="2.6. Заявочные документы, представленные лично, через представителя, на почтовый адрес Фонда не в соответствии с отраженной в заявке описью документов, либо направленные, при наличии уже зарегистрированных заявочных документов от данного субъекта МСП, возвращаются Фондом без регистрации в течение 5 рабочих дней со дня, следующего за днем их получения Фондом.">
        <w:r>
          <w:rPr>
            <w:sz w:val="20"/>
            <w:color w:val="0000ff"/>
          </w:rPr>
          <w:t xml:space="preserve">пункту 2.6</w:t>
        </w:r>
      </w:hyperlink>
      <w:r>
        <w:rPr>
          <w:sz w:val="20"/>
        </w:rPr>
        <w:t xml:space="preserve"> настоящего Порядка.</w:t>
      </w:r>
    </w:p>
    <w:p>
      <w:pPr>
        <w:pStyle w:val="0"/>
        <w:spacing w:before="200" w:line-rule="auto"/>
        <w:ind w:firstLine="540"/>
        <w:jc w:val="both"/>
      </w:pPr>
      <w:r>
        <w:rPr>
          <w:sz w:val="20"/>
        </w:rPr>
        <w:t xml:space="preserve">2.9. 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для получения гранта документов сведений, не соответствующих действительности.</w:t>
      </w:r>
    </w:p>
    <w:bookmarkStart w:id="222" w:name="P222"/>
    <w:bookmarkEnd w:id="222"/>
    <w:p>
      <w:pPr>
        <w:pStyle w:val="0"/>
        <w:spacing w:before="200" w:line-rule="auto"/>
        <w:ind w:firstLine="540"/>
        <w:jc w:val="both"/>
      </w:pPr>
      <w:r>
        <w:rPr>
          <w:sz w:val="20"/>
        </w:rPr>
        <w:t xml:space="preserve">2.10. Фонд в рамках проведения отбора:</w:t>
      </w:r>
    </w:p>
    <w:p>
      <w:pPr>
        <w:pStyle w:val="0"/>
        <w:spacing w:before="200" w:line-rule="auto"/>
        <w:ind w:firstLine="540"/>
        <w:jc w:val="both"/>
      </w:pPr>
      <w:r>
        <w:rPr>
          <w:sz w:val="20"/>
        </w:rPr>
        <w:t xml:space="preserve">2.10.1. Обеспечивает регистрацию заявочных документов в порядке очередности их поступления в соответствии с </w:t>
      </w:r>
      <w:hyperlink w:history="0" w:anchor="P169" w:tooltip="2.5. Днем обращения субъекта предпринимательства в целях участия в отборе считается дата поступления в Фонд заявки с приложенными к ней документами, которая подлежит регистрации в день поступления.">
        <w:r>
          <w:rPr>
            <w:sz w:val="20"/>
            <w:color w:val="0000ff"/>
          </w:rPr>
          <w:t xml:space="preserve">пунктом 2.5</w:t>
        </w:r>
      </w:hyperlink>
      <w:r>
        <w:rPr>
          <w:sz w:val="20"/>
        </w:rPr>
        <w:t xml:space="preserve"> настоящего Порядка.</w:t>
      </w:r>
    </w:p>
    <w:bookmarkStart w:id="224" w:name="P224"/>
    <w:bookmarkEnd w:id="224"/>
    <w:p>
      <w:pPr>
        <w:pStyle w:val="0"/>
        <w:spacing w:before="200" w:line-rule="auto"/>
        <w:ind w:firstLine="540"/>
        <w:jc w:val="both"/>
      </w:pPr>
      <w:r>
        <w:rPr>
          <w:sz w:val="20"/>
        </w:rPr>
        <w:t xml:space="preserve">2.10.2. В течение 15 рабочих дней со дня, следующего за днем окончания приема заявочных документов, Фонд осуществляет проверку полноты и достоверности представленной участниками отбора информации (в том числе с использованием системы межведомственного электронного взаимодействия, а также официальных сайтов федеральных органов исполнительной власти, органов исполнительной власти субъекта Российской Федерации, органов местного самоуправления в информационно-телекоммуникационной сети "Интернет"), выполняет необходимые запросы в соответствующие органы и организации, в том числе в электронной форме с использованием системы межведомственного электронного взаимодействия, готовит заключения, указанные в </w:t>
      </w:r>
      <w:hyperlink w:history="0" w:anchor="P229" w:tooltip="2.10.4. По итогам проверки поступивших заявочных документов готовит:">
        <w:r>
          <w:rPr>
            <w:sz w:val="20"/>
            <w:color w:val="0000ff"/>
          </w:rPr>
          <w:t xml:space="preserve">пункте 2.10.4</w:t>
        </w:r>
      </w:hyperlink>
      <w:r>
        <w:rPr>
          <w:sz w:val="20"/>
        </w:rPr>
        <w:t xml:space="preserve"> настоящего Порядка.</w:t>
      </w:r>
    </w:p>
    <w:p>
      <w:pPr>
        <w:pStyle w:val="0"/>
        <w:spacing w:before="200" w:line-rule="auto"/>
        <w:ind w:firstLine="540"/>
        <w:jc w:val="both"/>
      </w:pPr>
      <w:r>
        <w:rPr>
          <w:sz w:val="20"/>
        </w:rPr>
        <w:t xml:space="preserve">В случае непредставления участником отбора документов, указанных в </w:t>
      </w:r>
      <w:hyperlink w:history="0" w:anchor="P191" w:tooltip="2.7.2. Документами, предоставляемыми по желанию в Фонд, являются:">
        <w:r>
          <w:rPr>
            <w:sz w:val="20"/>
            <w:color w:val="0000ff"/>
          </w:rPr>
          <w:t xml:space="preserve">пункте 2.7.2</w:t>
        </w:r>
      </w:hyperlink>
      <w:r>
        <w:rPr>
          <w:sz w:val="20"/>
        </w:rPr>
        <w:t xml:space="preserve"> настоящего Порядка, Фонд посредством автоматизированной системы межведомственного электронного взаимодействия, государственных информационных ресурсов в информационно-телекоммуникационной сети "Интернет" либо иным доступным способом (по электронной почте, по факсу, путем непосредственного обращения в орган с соответствующим запросом): в период 11 календарных дней со дня, следующего за днем окончания приема заявочных документов, запрашивает в территориальном органе Федеральной налоговой службы информацию, указанную в </w:t>
      </w:r>
      <w:hyperlink w:history="0" w:anchor="P192" w:tooltip="1)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усмотренную подпунктом 2.3.1 пункта 2.3 настоящего Порядка, заверенная в установленном порядке территориальным органом Федеральной налоговой службы;">
        <w:r>
          <w:rPr>
            <w:sz w:val="20"/>
            <w:color w:val="0000ff"/>
          </w:rPr>
          <w:t xml:space="preserve">подпунктах 1</w:t>
        </w:r>
      </w:hyperlink>
      <w:r>
        <w:rPr>
          <w:sz w:val="20"/>
        </w:rPr>
        <w:t xml:space="preserve">, </w:t>
      </w:r>
      <w:hyperlink w:history="0" w:anchor="P194" w:tooltip="2) справка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предусмотренную подпунктом 2.3.1 пункта 2.3 настоящего Порядка, заверенная в установленном порядке территориальным органом Федеральной налоговой службы;">
        <w:r>
          <w:rPr>
            <w:sz w:val="20"/>
            <w:color w:val="0000ff"/>
          </w:rPr>
          <w:t xml:space="preserve">2 пункта 2.7.2</w:t>
        </w:r>
      </w:hyperlink>
      <w:r>
        <w:rPr>
          <w:sz w:val="20"/>
        </w:rPr>
        <w:t xml:space="preserve"> настоящего Порядка; в течение 15 рабочих дней со дня, следующего за днем окончания приема заявочных документов, запрашивает в Фонде пенсионного и социального страхования Российской Федерации информацию, указанную в </w:t>
      </w:r>
      <w:hyperlink w:history="0" w:anchor="P196" w:tooltip="3)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ая территориальным органом Фонда пенсионного и социального страхования Российской Федерации.">
        <w:r>
          <w:rPr>
            <w:sz w:val="20"/>
            <w:color w:val="0000ff"/>
          </w:rPr>
          <w:t xml:space="preserve">подпункте 3 пункта 2.7.2</w:t>
        </w:r>
      </w:hyperlink>
      <w:r>
        <w:rPr>
          <w:sz w:val="20"/>
        </w:rPr>
        <w:t xml:space="preserve"> настоящего Порядка.</w:t>
      </w:r>
    </w:p>
    <w:p>
      <w:pPr>
        <w:pStyle w:val="0"/>
        <w:jc w:val="both"/>
      </w:pPr>
      <w:r>
        <w:rPr>
          <w:sz w:val="20"/>
        </w:rPr>
        <w:t xml:space="preserve">(абзац введен </w:t>
      </w:r>
      <w:hyperlink w:history="0" r:id="rId11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bookmarkStart w:id="227" w:name="P227"/>
    <w:bookmarkEnd w:id="227"/>
    <w:p>
      <w:pPr>
        <w:pStyle w:val="0"/>
        <w:spacing w:before="200" w:line-rule="auto"/>
        <w:ind w:firstLine="540"/>
        <w:jc w:val="both"/>
      </w:pPr>
      <w:r>
        <w:rPr>
          <w:sz w:val="20"/>
        </w:rPr>
        <w:t xml:space="preserve">2.10.3. В течение 15 рабочих дней со дня, следующего за днем окончания приема заявочных документов, рассматривает заявочные документы участника отбора и проводит проверку соответствия участника отбора требованиям, предусмотренным </w:t>
      </w:r>
      <w:hyperlink w:history="0" w:anchor="P131" w:tooltip="2.3. Участники отбора должны соответствовать следующим требованиям:">
        <w:r>
          <w:rPr>
            <w:sz w:val="20"/>
            <w:color w:val="0000ff"/>
          </w:rPr>
          <w:t xml:space="preserve">пунктом 2.3</w:t>
        </w:r>
      </w:hyperlink>
      <w:r>
        <w:rPr>
          <w:sz w:val="20"/>
        </w:rPr>
        <w:t xml:space="preserve"> настоящего Порядка, и категории отбора, указанной в </w:t>
      </w:r>
      <w:hyperlink w:history="0" w:anchor="P56" w:tooltip="1.4. Порядок распространяется на субъекты малого и среднего предпринимательства (юридические лица и индивидуальные предпринимател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которые соответствуют условиям, определенным Федеральным законом N 209-ФЗ (далее - субъекты МСП).">
        <w:r>
          <w:rPr>
            <w:sz w:val="20"/>
            <w:color w:val="0000ff"/>
          </w:rPr>
          <w:t xml:space="preserve">пункте 1.4</w:t>
        </w:r>
      </w:hyperlink>
      <w:r>
        <w:rPr>
          <w:sz w:val="20"/>
        </w:rPr>
        <w:t xml:space="preserve"> настоящего Порядка, соблюдения условий предоставления гранта, предусмотренных </w:t>
      </w:r>
      <w:hyperlink w:history="0" w:anchor="P425" w:tooltip="3.7. Грант предоставляется субъекту МСП в следующих размерах при соблюдении условий, определенных пунктами 3.7.1 - 3.7.4 настоящего Порядка.">
        <w:r>
          <w:rPr>
            <w:sz w:val="20"/>
            <w:color w:val="0000ff"/>
          </w:rPr>
          <w:t xml:space="preserve">пунктом 3.7</w:t>
        </w:r>
      </w:hyperlink>
      <w:r>
        <w:rPr>
          <w:sz w:val="20"/>
        </w:rPr>
        <w:t xml:space="preserve"> настоящего Порядка, а также соответствия заявочных документов установленным в настоящем Порядке требованиям.</w:t>
      </w:r>
    </w:p>
    <w:p>
      <w:pPr>
        <w:pStyle w:val="0"/>
        <w:jc w:val="both"/>
      </w:pPr>
      <w:r>
        <w:rPr>
          <w:sz w:val="20"/>
        </w:rPr>
        <w:t xml:space="preserve">(в ред. </w:t>
      </w:r>
      <w:hyperlink w:history="0" r:id="rId12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229" w:name="P229"/>
    <w:bookmarkEnd w:id="229"/>
    <w:p>
      <w:pPr>
        <w:pStyle w:val="0"/>
        <w:spacing w:before="200" w:line-rule="auto"/>
        <w:ind w:firstLine="540"/>
        <w:jc w:val="both"/>
      </w:pPr>
      <w:r>
        <w:rPr>
          <w:sz w:val="20"/>
        </w:rPr>
        <w:t xml:space="preserve">2.10.4. По итогам проверки поступивших заявочных документов готовит:</w:t>
      </w:r>
    </w:p>
    <w:bookmarkStart w:id="230" w:name="P230"/>
    <w:bookmarkEnd w:id="230"/>
    <w:p>
      <w:pPr>
        <w:pStyle w:val="0"/>
        <w:spacing w:before="200" w:line-rule="auto"/>
        <w:ind w:firstLine="540"/>
        <w:jc w:val="both"/>
      </w:pPr>
      <w:r>
        <w:rPr>
          <w:sz w:val="20"/>
        </w:rPr>
        <w:t xml:space="preserve">2.10.4.1. Заключения о возможности предоставления гранта по итогам рассмотрения заявочных документов согласно </w:t>
      </w:r>
      <w:hyperlink w:history="0" w:anchor="P224" w:tooltip="2.10.2. В течение 15 рабочих дней со дня, следующего за днем окончания приема заявочных документов, Фонд осуществляет проверку полноты и достоверности представленной участниками отбора информации (в том числе с использованием системы межведомственного электронного взаимодействия, а также официальных сайтов федеральных органов исполнительной власти, органов исполнительной власти субъекта Российской Федерации, органов местного самоуправления в информационно-телекоммуникационной сети &quot;Интернет&quot;), выполняет ...">
        <w:r>
          <w:rPr>
            <w:sz w:val="20"/>
            <w:color w:val="0000ff"/>
          </w:rPr>
          <w:t xml:space="preserve">пунктам 2.10.2</w:t>
        </w:r>
      </w:hyperlink>
      <w:r>
        <w:rPr>
          <w:sz w:val="20"/>
        </w:rPr>
        <w:t xml:space="preserve"> и </w:t>
      </w:r>
      <w:hyperlink w:history="0" w:anchor="P227" w:tooltip="2.10.3. В течение 15 рабочих дней со дня, следующего за днем окончания приема заявочных документов, рассматривает заявочные документы участника отбора и проводит проверку соответствия участника отбора требованиям, предусмотренным пунктом 2.3 настоящего Порядка, и категории отбора, указанной в пункте 1.4 настоящего Порядка, соблюдения условий предоставления гранта, предусмотренных пунктом 3.7 настоящего Порядка, а также соответствия заявочных документов установленным в настоящем Порядке требованиям.">
        <w:r>
          <w:rPr>
            <w:sz w:val="20"/>
            <w:color w:val="0000ff"/>
          </w:rPr>
          <w:t xml:space="preserve">2.10.3</w:t>
        </w:r>
      </w:hyperlink>
      <w:r>
        <w:rPr>
          <w:sz w:val="20"/>
        </w:rPr>
        <w:t xml:space="preserve"> настоящего Порядка.</w:t>
      </w:r>
    </w:p>
    <w:p>
      <w:pPr>
        <w:pStyle w:val="0"/>
        <w:jc w:val="both"/>
      </w:pPr>
      <w:r>
        <w:rPr>
          <w:sz w:val="20"/>
        </w:rPr>
        <w:t xml:space="preserve">(в ред. </w:t>
      </w:r>
      <w:hyperlink w:history="0" r:id="rId12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232" w:name="P232"/>
    <w:bookmarkEnd w:id="232"/>
    <w:p>
      <w:pPr>
        <w:pStyle w:val="0"/>
        <w:spacing w:before="200" w:line-rule="auto"/>
        <w:ind w:firstLine="540"/>
        <w:jc w:val="both"/>
      </w:pPr>
      <w:r>
        <w:rPr>
          <w:sz w:val="20"/>
        </w:rPr>
        <w:t xml:space="preserve">2.10.4.2. Заключения об отклонении заявочных документов участника отбора на стадии рассмотрения (с указанием оснований для отклонения заявочных документов) в соответствии с </w:t>
      </w:r>
      <w:hyperlink w:history="0" w:anchor="P246" w:tooltip="2.11. Основаниями для отклонения заявки участника отбора на стадии рассмотрения и оценки заявок являются:">
        <w:r>
          <w:rPr>
            <w:sz w:val="20"/>
            <w:color w:val="0000ff"/>
          </w:rPr>
          <w:t xml:space="preserve">пунктом 2.11</w:t>
        </w:r>
      </w:hyperlink>
      <w:r>
        <w:rPr>
          <w:sz w:val="20"/>
        </w:rPr>
        <w:t xml:space="preserve"> настоящего Порядка (при их наличии).</w:t>
      </w:r>
    </w:p>
    <w:p>
      <w:pPr>
        <w:pStyle w:val="0"/>
        <w:spacing w:before="200" w:line-rule="auto"/>
        <w:ind w:firstLine="540"/>
        <w:jc w:val="both"/>
      </w:pPr>
      <w:r>
        <w:rPr>
          <w:sz w:val="20"/>
        </w:rPr>
        <w:t xml:space="preserve">В течение 2 рабочих дней со дня, следующего за днем подготовки заключения, указанного в </w:t>
      </w:r>
      <w:hyperlink w:history="0" w:anchor="P232" w:tooltip="2.10.4.2. Заключения об отклонении заявочных документов участника отбора на стадии рассмотрения (с указанием оснований для отклонения заявочных документов) в соответствии с пунктом 2.11 настоящего Порядка (при их наличии).">
        <w:r>
          <w:rPr>
            <w:sz w:val="20"/>
            <w:color w:val="0000ff"/>
          </w:rPr>
          <w:t xml:space="preserve">абзаце первом</w:t>
        </w:r>
      </w:hyperlink>
      <w:r>
        <w:rPr>
          <w:sz w:val="20"/>
        </w:rPr>
        <w:t xml:space="preserve"> настоящего подпункта, принимает решение об отклонении заявочных документов участника отбора.</w:t>
      </w:r>
    </w:p>
    <w:p>
      <w:pPr>
        <w:pStyle w:val="0"/>
        <w:jc w:val="both"/>
      </w:pPr>
      <w:r>
        <w:rPr>
          <w:sz w:val="20"/>
        </w:rPr>
        <w:t xml:space="preserve">(в ред. </w:t>
      </w:r>
      <w:hyperlink w:history="0" r:id="rId12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Решение об отклонении заявочных документов участника отбора оформляется приказом руководителя Фонда.</w:t>
      </w:r>
    </w:p>
    <w:bookmarkStart w:id="236" w:name="P236"/>
    <w:bookmarkEnd w:id="236"/>
    <w:p>
      <w:pPr>
        <w:pStyle w:val="0"/>
        <w:spacing w:before="200" w:line-rule="auto"/>
        <w:ind w:firstLine="540"/>
        <w:jc w:val="both"/>
      </w:pPr>
      <w:r>
        <w:rPr>
          <w:sz w:val="20"/>
        </w:rPr>
        <w:t xml:space="preserve">2.10.5. Фонд в течение трех рабочих дней со дня, следующего за днем принятия решения об отклонении заявочных документов участника отбора, информирует участников отбора об отклонении их заявочных документов (с указанием причин отклонения) путем направления уведомления на электронный адрес участника отбора, указанный в заявке.</w:t>
      </w:r>
    </w:p>
    <w:p>
      <w:pPr>
        <w:pStyle w:val="0"/>
        <w:spacing w:before="200" w:line-rule="auto"/>
        <w:ind w:firstLine="540"/>
        <w:jc w:val="both"/>
      </w:pPr>
      <w:r>
        <w:rPr>
          <w:sz w:val="20"/>
        </w:rPr>
        <w:t xml:space="preserve">В уведомлении, указанном в </w:t>
      </w:r>
      <w:hyperlink w:history="0" w:anchor="P236" w:tooltip="2.10.5. Фонд в течение трех рабочих дней со дня, следующего за днем принятия решения об отклонении заявочных документов участника отбора, информирует участников отбора об отклонении их заявочных документов (с указанием причин отклонения) путем направления уведомления на электронный адрес участника отбора, указанный в заявке.">
        <w:r>
          <w:rPr>
            <w:sz w:val="20"/>
            <w:color w:val="0000ff"/>
          </w:rPr>
          <w:t xml:space="preserve">абзаце первом</w:t>
        </w:r>
      </w:hyperlink>
      <w:r>
        <w:rPr>
          <w:sz w:val="20"/>
        </w:rPr>
        <w:t xml:space="preserve"> настоящего подпункта, указывается возможность субъекта МСП забрать отклоненные заявочные документы в течение 30 рабочих дней со дня, следующего за днем принятия Фондом решения об отклонения заявочных документов в соответствии с </w:t>
      </w:r>
      <w:hyperlink w:history="0" w:anchor="P246" w:tooltip="2.11. Основаниями для отклонения заявки участника отбора на стадии рассмотрения и оценки заявок являются:">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Абзац исключен. - </w:t>
      </w:r>
      <w:hyperlink w:history="0" r:id="rId12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w:t>
        </w:r>
      </w:hyperlink>
      <w:r>
        <w:rPr>
          <w:sz w:val="20"/>
        </w:rPr>
        <w:t xml:space="preserve"> Правительства Тюменской области от 20.06.2022 N 390-п.</w:t>
      </w:r>
    </w:p>
    <w:bookmarkStart w:id="239" w:name="P239"/>
    <w:bookmarkEnd w:id="239"/>
    <w:p>
      <w:pPr>
        <w:pStyle w:val="0"/>
        <w:spacing w:before="200" w:line-rule="auto"/>
        <w:ind w:firstLine="540"/>
        <w:jc w:val="both"/>
      </w:pPr>
      <w:r>
        <w:rPr>
          <w:sz w:val="20"/>
        </w:rPr>
        <w:t xml:space="preserve">2.10.6. В течение 20 рабочих дней со дня, следующего за днем окончания приема заявочных документов, направляет заключения, указанные в </w:t>
      </w:r>
      <w:hyperlink w:history="0" w:anchor="P230" w:tooltip="2.10.4.1. Заключения о возможности предоставления гранта по итогам рассмотрения заявочных документов согласно пунктам 2.10.2 и 2.10.3 настоящего Порядка.">
        <w:r>
          <w:rPr>
            <w:sz w:val="20"/>
            <w:color w:val="0000ff"/>
          </w:rPr>
          <w:t xml:space="preserve">подпункте 2.10.4.1 пункта 2.10.4</w:t>
        </w:r>
      </w:hyperlink>
      <w:r>
        <w:rPr>
          <w:sz w:val="20"/>
        </w:rPr>
        <w:t xml:space="preserve"> настоящего Порядка, перечень субъектов МСП, претендующих на получение гранта (далее - Перечень) на рассмотрение Комиссии.</w:t>
      </w:r>
    </w:p>
    <w:p>
      <w:pPr>
        <w:pStyle w:val="0"/>
        <w:jc w:val="both"/>
      </w:pPr>
      <w:r>
        <w:rPr>
          <w:sz w:val="20"/>
        </w:rPr>
        <w:t xml:space="preserve">(в ред. постановлений Правительства Тюменской области от 20.06.2022 </w:t>
      </w:r>
      <w:hyperlink w:history="0" r:id="rId12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12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Перечень оформляется в виде списка субъектов МСП, исходя из даты поступления заявочных документов в Фонд. В Перечне указывается: наименование субъекта МСП, ИНН, сумма гранта, на которую претендует участник отбора, наименование проекта.</w:t>
      </w:r>
    </w:p>
    <w:p>
      <w:pPr>
        <w:pStyle w:val="0"/>
        <w:spacing w:before="200" w:line-rule="auto"/>
        <w:ind w:firstLine="540"/>
        <w:jc w:val="both"/>
      </w:pPr>
      <w:r>
        <w:rPr>
          <w:sz w:val="20"/>
        </w:rPr>
        <w:t xml:space="preserve">2.10.7. Организует проведение Комиссии и документальное оформление ее решений в виде </w:t>
      </w:r>
      <w:hyperlink w:history="0" w:anchor="P1460" w:tooltip="                 Согласие на обработку персональных данных">
        <w:r>
          <w:rPr>
            <w:sz w:val="20"/>
            <w:color w:val="0000ff"/>
          </w:rPr>
          <w:t xml:space="preserve">протокола</w:t>
        </w:r>
      </w:hyperlink>
      <w:r>
        <w:rPr>
          <w:sz w:val="20"/>
        </w:rPr>
        <w:t xml:space="preserve"> по форме согласно приложению N 5 к настоящему Порядку (далее - Протокол).</w:t>
      </w:r>
    </w:p>
    <w:p>
      <w:pPr>
        <w:pStyle w:val="0"/>
        <w:jc w:val="both"/>
      </w:pPr>
      <w:r>
        <w:rPr>
          <w:sz w:val="20"/>
        </w:rPr>
        <w:t xml:space="preserve">(в ред. </w:t>
      </w:r>
      <w:hyperlink w:history="0" r:id="rId12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2.10.8. Направляет итоги заседания Комиссии (Протокол с приложениями) в Уполномоченный орган для предоставления гранта субъектам МСП, осуществляющим деятельность в сфере социального предпринимательства, или молодым предпринимателям на реализацию проекта в сфере предпринимательской деятельности.</w:t>
      </w:r>
    </w:p>
    <w:p>
      <w:pPr>
        <w:pStyle w:val="0"/>
        <w:jc w:val="both"/>
      </w:pPr>
      <w:r>
        <w:rPr>
          <w:sz w:val="20"/>
        </w:rPr>
        <w:t xml:space="preserve">(в ред. </w:t>
      </w:r>
      <w:hyperlink w:history="0" r:id="rId12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bookmarkStart w:id="246" w:name="P246"/>
    <w:bookmarkEnd w:id="246"/>
    <w:p>
      <w:pPr>
        <w:pStyle w:val="0"/>
        <w:spacing w:before="200" w:line-rule="auto"/>
        <w:ind w:firstLine="540"/>
        <w:jc w:val="both"/>
      </w:pPr>
      <w:r>
        <w:rPr>
          <w:sz w:val="20"/>
        </w:rPr>
        <w:t xml:space="preserve">2.11. Основаниями для отклонения заявки участника отбора на стадии рассмотрения и оценки заявок являются:</w:t>
      </w:r>
    </w:p>
    <w:p>
      <w:pPr>
        <w:pStyle w:val="0"/>
        <w:spacing w:before="200" w:line-rule="auto"/>
        <w:ind w:firstLine="540"/>
        <w:jc w:val="both"/>
      </w:pPr>
      <w:r>
        <w:rPr>
          <w:sz w:val="20"/>
        </w:rPr>
        <w:t xml:space="preserve">1) несоответствие участника отбора категории отбора, указанной в </w:t>
      </w:r>
      <w:hyperlink w:history="0" w:anchor="P56" w:tooltip="1.4. Порядок распространяется на субъекты малого и среднего предпринимательства (юридические лица и индивидуальные предприниматели), адрес (место нахождения) которых согласно выписке из ЕГРЮЛ (для юридических лиц) или ЕГРИП (для индивидуальных предпринимателей) является Тюменская область (без автономных округов), и которые соответствуют условиям, определенным Федеральным законом N 209-ФЗ (далее - субъекты МСП).">
        <w:r>
          <w:rPr>
            <w:sz w:val="20"/>
            <w:color w:val="0000ff"/>
          </w:rPr>
          <w:t xml:space="preserve">пункте 1.4</w:t>
        </w:r>
      </w:hyperlink>
      <w:r>
        <w:rPr>
          <w:sz w:val="20"/>
        </w:rPr>
        <w:t xml:space="preserve"> настоящего Порядка, требованиям, установленным в </w:t>
      </w:r>
      <w:hyperlink w:history="0" w:anchor="P131" w:tooltip="2.3. Участники отбора должны соответствовать следующим требованиям:">
        <w:r>
          <w:rPr>
            <w:sz w:val="20"/>
            <w:color w:val="0000ff"/>
          </w:rPr>
          <w:t xml:space="preserve">пункте 2.3</w:t>
        </w:r>
      </w:hyperlink>
      <w:r>
        <w:rPr>
          <w:sz w:val="20"/>
        </w:rPr>
        <w:t xml:space="preserve"> настоящего Порядка, а также несоблюдение участником отбора условий предоставления гранта, предусмотренных </w:t>
      </w:r>
      <w:hyperlink w:history="0" w:anchor="P425" w:tooltip="3.7. Грант предоставляется субъекту МСП в следующих размерах при соблюдении условий, определенных пунктами 3.7.1 - 3.7.4 настоящего Порядка.">
        <w:r>
          <w:rPr>
            <w:sz w:val="20"/>
            <w:color w:val="0000ff"/>
          </w:rPr>
          <w:t xml:space="preserve">пунктом 3.7</w:t>
        </w:r>
      </w:hyperlink>
      <w:r>
        <w:rPr>
          <w:sz w:val="20"/>
        </w:rPr>
        <w:t xml:space="preserve"> настоящего Порядка;</w:t>
      </w:r>
    </w:p>
    <w:p>
      <w:pPr>
        <w:pStyle w:val="0"/>
        <w:jc w:val="both"/>
      </w:pPr>
      <w:r>
        <w:rPr>
          <w:sz w:val="20"/>
        </w:rPr>
        <w:t xml:space="preserve">(в ред. </w:t>
      </w:r>
      <w:hyperlink w:history="0" r:id="rId12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2) несоответствие представленных участником отбора заявки и обязательных к представлению документов требованиям к заявочным документам, установленным в объявлении о проведении отбора;</w:t>
      </w:r>
    </w:p>
    <w:p>
      <w:pPr>
        <w:pStyle w:val="0"/>
        <w:jc w:val="both"/>
      </w:pPr>
      <w:r>
        <w:rPr>
          <w:sz w:val="20"/>
        </w:rPr>
        <w:t xml:space="preserve">(в ред. </w:t>
      </w:r>
      <w:hyperlink w:history="0" r:id="rId12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2.12. В своей деятельности Комиссия руководствуется Федеральным </w:t>
      </w:r>
      <w:hyperlink w:history="0" r:id="rId130"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 </w:t>
      </w:r>
      <w:hyperlink w:history="0" r:id="rId131"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приказом</w:t>
        </w:r>
      </w:hyperlink>
      <w:r>
        <w:rPr>
          <w:sz w:val="20"/>
        </w:rPr>
        <w:t xml:space="preserve"> N 142, </w:t>
      </w:r>
      <w:hyperlink w:history="0" r:id="rId132" w:tooltip="Закон Тюменской области от 05.05.2008 N 18 (ред. от 26.09.2023) &quot;О развитии малого и среднего предпринимательства в Тюменской области&quot; (принят Тюменской областной Думой 24.04.2008) {КонсультантПлюс}">
        <w:r>
          <w:rPr>
            <w:sz w:val="20"/>
            <w:color w:val="0000ff"/>
          </w:rPr>
          <w:t xml:space="preserve">Законом</w:t>
        </w:r>
      </w:hyperlink>
      <w:r>
        <w:rPr>
          <w:sz w:val="20"/>
        </w:rPr>
        <w:t xml:space="preserve"> Тюменской области N 18, настоящим Порядком и положением о Комиссии.</w:t>
      </w:r>
    </w:p>
    <w:p>
      <w:pPr>
        <w:pStyle w:val="0"/>
        <w:spacing w:before="200" w:line-rule="auto"/>
        <w:ind w:firstLine="540"/>
        <w:jc w:val="both"/>
      </w:pPr>
      <w:r>
        <w:rPr>
          <w:sz w:val="20"/>
        </w:rPr>
        <w:t xml:space="preserve">Состав Комиссии формируется из представителей исполнительных органов государственной власти Тюменской области, службы Уполномоченного по защите прав предпринимателей в Тюменской области, общественного совета при Уполномоченном органе, некоммерческих организаций (союзов, ассоциаций), выражающих интересы субъектов МСП.</w:t>
      </w:r>
    </w:p>
    <w:p>
      <w:pPr>
        <w:pStyle w:val="0"/>
        <w:spacing w:before="200" w:line-rule="auto"/>
        <w:ind w:firstLine="540"/>
        <w:jc w:val="both"/>
      </w:pPr>
      <w:r>
        <w:rPr>
          <w:sz w:val="20"/>
        </w:rPr>
        <w:t xml:space="preserve">Комиссия формируется в составе председателя Комиссии, заместителя председателя Комиссии, секретаря и членов Комиссии. Руководит деятельностью Комиссии председатель Комиссии. В отсутствие председателя Комиссии его функции исполняет заместитель председателя Комиссии.</w:t>
      </w:r>
    </w:p>
    <w:p>
      <w:pPr>
        <w:pStyle w:val="0"/>
        <w:spacing w:before="200" w:line-rule="auto"/>
        <w:ind w:firstLine="540"/>
        <w:jc w:val="both"/>
      </w:pPr>
      <w:r>
        <w:rPr>
          <w:sz w:val="20"/>
        </w:rPr>
        <w:t xml:space="preserve">Состав, полномочия, порядок работы Комиссии утверждаются в соответствии с распоряжением Правительства Тюменской области. Персональный состав Комиссии утверждается Протоколом.</w:t>
      </w:r>
    </w:p>
    <w:p>
      <w:pPr>
        <w:pStyle w:val="0"/>
        <w:jc w:val="both"/>
      </w:pPr>
      <w:r>
        <w:rPr>
          <w:sz w:val="20"/>
        </w:rPr>
        <w:t xml:space="preserve">(в ред. </w:t>
      </w:r>
      <w:hyperlink w:history="0" r:id="rId13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Заседание Комиссии по решению председателя Комиссии может быть проведено в очной (в том числе в формате видеоконференции) или заочной формах. Заседание Комиссии считается правомочным при участии не менее половины состава Комиссии.</w:t>
      </w:r>
    </w:p>
    <w:bookmarkStart w:id="259" w:name="P259"/>
    <w:bookmarkEnd w:id="259"/>
    <w:p>
      <w:pPr>
        <w:pStyle w:val="0"/>
        <w:spacing w:before="200" w:line-rule="auto"/>
        <w:ind w:firstLine="540"/>
        <w:jc w:val="both"/>
      </w:pPr>
      <w:r>
        <w:rPr>
          <w:sz w:val="20"/>
        </w:rPr>
        <w:t xml:space="preserve">2.13. Комиссия рассматривает документы, направленные Фондом в соответствии с </w:t>
      </w:r>
      <w:hyperlink w:history="0" w:anchor="P239" w:tooltip="2.10.6. В течение 20 рабочих дней со дня, следующего за днем окончания приема заявочных документов, направляет заключения, указанные в подпункте 2.10.4.1 пункта 2.10.4 настоящего Порядка, перечень субъектов МСП, претендующих на получение гранта (далее - Перечень) на рассмотрение Комиссии.">
        <w:r>
          <w:rPr>
            <w:sz w:val="20"/>
            <w:color w:val="0000ff"/>
          </w:rPr>
          <w:t xml:space="preserve">пунктом 2.10.6</w:t>
        </w:r>
      </w:hyperlink>
      <w:r>
        <w:rPr>
          <w:sz w:val="20"/>
        </w:rPr>
        <w:t xml:space="preserve"> настоящего Порядка, а также заслушивает представление проекта участником отбора (в случае очного заседания Комиссии) на заседании Комиссии, в срок, указанный в объявлении о проведении отбора в соответствии с </w:t>
      </w:r>
      <w:hyperlink w:history="0" w:anchor="P106" w:tooltip="2.2. В целях проведения отбора в форме, установленного пунктом 1.9 настоящего Порядка, Уполномоченный орган не ранее чем за один рабочий день до даты начала приема Фондом документов размещает объявление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или на ином сайте, на котором обеспечивается проведение отбора (с размещением указателя ...">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случае проведения заседания в очной форме, на рассмотрение и оценку заявочных документов Комиссией приглашается для представления проекта представитель участника отбора - индивидуальный предприниматель (руководитель - для юридического лица) либо иное лицо по доверенности.</w:t>
      </w:r>
    </w:p>
    <w:p>
      <w:pPr>
        <w:pStyle w:val="0"/>
        <w:spacing w:before="200" w:line-rule="auto"/>
        <w:ind w:firstLine="540"/>
        <w:jc w:val="both"/>
      </w:pPr>
      <w:r>
        <w:rPr>
          <w:sz w:val="20"/>
        </w:rPr>
        <w:t xml:space="preserve">Фонд не позднее 5 рабочих дней до дня проведения заседания Комиссии в очной форме направляет участникам отбора письма-приглашения на электронный адрес, указанный в заявке.</w:t>
      </w:r>
    </w:p>
    <w:p>
      <w:pPr>
        <w:pStyle w:val="0"/>
        <w:spacing w:before="200" w:line-rule="auto"/>
        <w:ind w:firstLine="540"/>
        <w:jc w:val="both"/>
      </w:pPr>
      <w:r>
        <w:rPr>
          <w:sz w:val="20"/>
        </w:rPr>
        <w:t xml:space="preserve">В случае отсутствия представителя участника отбора на очном заседании Комиссия рассматривает документы данного участника отбора, направленные Фондом в соответствии с </w:t>
      </w:r>
      <w:hyperlink w:history="0" w:anchor="P239" w:tooltip="2.10.6. В течение 20 рабочих дней со дня, следующего за днем окончания приема заявочных документов, направляет заключения, указанные в подпункте 2.10.4.1 пункта 2.10.4 настоящего Порядка, перечень субъектов МСП, претендующих на получение гранта (далее - Перечень) на рассмотрение Комиссии.">
        <w:r>
          <w:rPr>
            <w:sz w:val="20"/>
            <w:color w:val="0000ff"/>
          </w:rPr>
          <w:t xml:space="preserve">пунктом 2.10.6</w:t>
        </w:r>
      </w:hyperlink>
      <w:r>
        <w:rPr>
          <w:sz w:val="20"/>
        </w:rPr>
        <w:t xml:space="preserve"> настоящего Порядка, без заслушивания его представления проекта в сфере социального предприятия.</w:t>
      </w:r>
    </w:p>
    <w:p>
      <w:pPr>
        <w:pStyle w:val="0"/>
        <w:spacing w:before="200" w:line-rule="auto"/>
        <w:ind w:firstLine="540"/>
        <w:jc w:val="both"/>
      </w:pPr>
      <w:r>
        <w:rPr>
          <w:sz w:val="20"/>
        </w:rPr>
        <w:t xml:space="preserve">Представлением проекта участника отбора является его персональное представление перед Комиссией (в устной форме, при необходимости с использованием мультимедийного оборудования).</w:t>
      </w:r>
    </w:p>
    <w:p>
      <w:pPr>
        <w:pStyle w:val="0"/>
        <w:spacing w:before="200" w:line-rule="auto"/>
        <w:ind w:firstLine="540"/>
        <w:jc w:val="both"/>
      </w:pPr>
      <w:r>
        <w:rPr>
          <w:sz w:val="20"/>
        </w:rPr>
        <w:t xml:space="preserve">2.14. Оценка заявочных документов на предоставление грантов осуществляется каждым членом Комиссии, присутствующим на очном заседании Комиссии (направившим опросный лист при заочной форме заседания) по следующим критериям (имеют одинаковое весовое значение в общей оценке):</w:t>
      </w:r>
    </w:p>
    <w:p>
      <w:pPr>
        <w:pStyle w:val="0"/>
        <w:spacing w:before="200" w:line-rule="auto"/>
        <w:ind w:firstLine="540"/>
        <w:jc w:val="both"/>
      </w:pPr>
      <w:r>
        <w:rPr>
          <w:sz w:val="20"/>
        </w:rPr>
        <w:t xml:space="preserve">2.14.1. На реализацию социальным предприятием проекта в сфере социального 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9"/>
        <w:gridCol w:w="3000"/>
        <w:gridCol w:w="1537"/>
        <w:gridCol w:w="4720"/>
      </w:tblGrid>
      <w:tr>
        <w:tc>
          <w:tcPr>
            <w:tcW w:w="519" w:type="dxa"/>
            <w:vAlign w:val="center"/>
          </w:tcPr>
          <w:p>
            <w:pPr>
              <w:pStyle w:val="0"/>
              <w:jc w:val="center"/>
            </w:pPr>
            <w:r>
              <w:rPr>
                <w:sz w:val="20"/>
              </w:rPr>
              <w:t xml:space="preserve">N</w:t>
            </w:r>
          </w:p>
        </w:tc>
        <w:tc>
          <w:tcPr>
            <w:tcW w:w="3000" w:type="dxa"/>
            <w:vAlign w:val="center"/>
          </w:tcPr>
          <w:p>
            <w:pPr>
              <w:pStyle w:val="0"/>
              <w:jc w:val="center"/>
            </w:pPr>
            <w:r>
              <w:rPr>
                <w:sz w:val="20"/>
              </w:rPr>
              <w:t xml:space="preserve">Критерий оценки</w:t>
            </w:r>
          </w:p>
        </w:tc>
        <w:tc>
          <w:tcPr>
            <w:tcW w:w="1537" w:type="dxa"/>
            <w:vAlign w:val="center"/>
          </w:tcPr>
          <w:p>
            <w:pPr>
              <w:pStyle w:val="0"/>
              <w:jc w:val="center"/>
            </w:pPr>
            <w:r>
              <w:rPr>
                <w:sz w:val="20"/>
              </w:rPr>
              <w:t xml:space="preserve">Количество баллов</w:t>
            </w:r>
          </w:p>
        </w:tc>
        <w:tc>
          <w:tcPr>
            <w:tcW w:w="4720" w:type="dxa"/>
            <w:vAlign w:val="center"/>
          </w:tcPr>
          <w:p>
            <w:pPr>
              <w:pStyle w:val="0"/>
              <w:jc w:val="center"/>
            </w:pPr>
            <w:r>
              <w:rPr>
                <w:sz w:val="20"/>
              </w:rPr>
              <w:t xml:space="preserve">Значение критерия</w:t>
            </w:r>
          </w:p>
        </w:tc>
      </w:tr>
      <w:tr>
        <w:tc>
          <w:tcPr>
            <w:tcW w:w="519" w:type="dxa"/>
          </w:tcPr>
          <w:p>
            <w:pPr>
              <w:pStyle w:val="0"/>
              <w:jc w:val="center"/>
            </w:pPr>
            <w:r>
              <w:rPr>
                <w:sz w:val="20"/>
              </w:rPr>
              <w:t xml:space="preserve">1.</w:t>
            </w:r>
          </w:p>
        </w:tc>
        <w:tc>
          <w:tcPr>
            <w:tcW w:w="3000" w:type="dxa"/>
          </w:tcPr>
          <w:p>
            <w:pPr>
              <w:pStyle w:val="0"/>
              <w:jc w:val="both"/>
            </w:pPr>
            <w:r>
              <w:rPr>
                <w:sz w:val="20"/>
              </w:rPr>
              <w:t xml:space="preserve">Степень детализации реализации 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высокая степень детализации плана реализации проекта и обоснованности потребности в финансовых ресурсах </w:t>
            </w:r>
            <w:hyperlink w:history="0" w:anchor="P315" w:tooltip="&lt;1&gt; &quot;Высокая степень детализации плана&quot; предполагает наличие помесячной или поквартальной динамики показателей в Плане расходов и доходов реализации проекта с финансовым обоснованием.">
              <w:r>
                <w:rPr>
                  <w:sz w:val="20"/>
                  <w:color w:val="0000ff"/>
                </w:rPr>
                <w:t xml:space="preserve">&lt;1&gt;</w:t>
              </w:r>
            </w:hyperlink>
            <w:r>
              <w:rPr>
                <w:sz w:val="20"/>
              </w:rPr>
              <w:t xml:space="preserve">;</w:t>
            </w:r>
          </w:p>
          <w:p>
            <w:pPr>
              <w:pStyle w:val="0"/>
              <w:jc w:val="both"/>
            </w:pPr>
            <w:r>
              <w:rPr>
                <w:sz w:val="20"/>
              </w:rPr>
              <w:t xml:space="preserve">1 - план реализации проекта требует уточнения;</w:t>
            </w:r>
          </w:p>
          <w:p>
            <w:pPr>
              <w:pStyle w:val="0"/>
              <w:jc w:val="both"/>
            </w:pPr>
            <w:r>
              <w:rPr>
                <w:sz w:val="20"/>
              </w:rPr>
              <w:t xml:space="preserve">0 - отсутствие детального плана реализации проекта и обоснованности потребности в финансовых ресурсах;</w:t>
            </w:r>
          </w:p>
        </w:tc>
      </w:tr>
      <w:tr>
        <w:tc>
          <w:tcPr>
            <w:tcW w:w="519" w:type="dxa"/>
          </w:tcPr>
          <w:p>
            <w:pPr>
              <w:pStyle w:val="0"/>
              <w:jc w:val="center"/>
            </w:pPr>
            <w:r>
              <w:rPr>
                <w:sz w:val="20"/>
              </w:rPr>
              <w:t xml:space="preserve">2.</w:t>
            </w:r>
          </w:p>
        </w:tc>
        <w:tc>
          <w:tcPr>
            <w:tcW w:w="3000" w:type="dxa"/>
          </w:tcPr>
          <w:p>
            <w:pPr>
              <w:pStyle w:val="0"/>
              <w:jc w:val="both"/>
            </w:pPr>
            <w:r>
              <w:rPr>
                <w:sz w:val="20"/>
              </w:rPr>
              <w:t xml:space="preserve">Степень социального эффекта от проекта</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реализация проекта рассчитана на Тюменскую область и иные субъекты Российской Федерации;</w:t>
            </w:r>
          </w:p>
          <w:p>
            <w:pPr>
              <w:pStyle w:val="0"/>
              <w:jc w:val="both"/>
            </w:pPr>
            <w:r>
              <w:rPr>
                <w:sz w:val="20"/>
              </w:rPr>
              <w:t xml:space="preserve">1 - реализация проекта рассчитана на Тюменскую область;</w:t>
            </w:r>
          </w:p>
          <w:p>
            <w:pPr>
              <w:pStyle w:val="0"/>
              <w:jc w:val="both"/>
            </w:pPr>
            <w:r>
              <w:rPr>
                <w:sz w:val="20"/>
              </w:rPr>
              <w:t xml:space="preserve">0 - реализация проекта рассчитана только на один населенный пункт в Тюменской области;</w:t>
            </w:r>
          </w:p>
        </w:tc>
      </w:tr>
      <w:tr>
        <w:tc>
          <w:tcPr>
            <w:tcW w:w="519" w:type="dxa"/>
          </w:tcPr>
          <w:p>
            <w:pPr>
              <w:pStyle w:val="0"/>
              <w:jc w:val="center"/>
            </w:pPr>
            <w:r>
              <w:rPr>
                <w:sz w:val="20"/>
              </w:rPr>
              <w:t xml:space="preserve">3</w:t>
            </w:r>
          </w:p>
        </w:tc>
        <w:tc>
          <w:tcPr>
            <w:tcW w:w="3000" w:type="dxa"/>
          </w:tcPr>
          <w:p>
            <w:pPr>
              <w:pStyle w:val="0"/>
              <w:jc w:val="both"/>
            </w:pPr>
            <w:r>
              <w:rPr>
                <w:sz w:val="20"/>
              </w:rPr>
              <w:t xml:space="preserve">Степень обеспеченности материально-технической, ресурсной базой для реализации плана проекта в сфере социального предпринимательства</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наличие собственной материально-технической, ресурсной базы для реализации плана проекта, подтвержденной документально (копии документов на приобретение основных средств, на аренду помещений, земельных участков, на поставку сырья и материалов и иных документов, подтверждающих наличие собственной материально-технической, ресурсной базы для реализации плана проекта);</w:t>
            </w:r>
          </w:p>
          <w:p>
            <w:pPr>
              <w:pStyle w:val="0"/>
              <w:jc w:val="both"/>
            </w:pPr>
            <w:r>
              <w:rPr>
                <w:sz w:val="20"/>
              </w:rPr>
              <w:t xml:space="preserve">1 - имеется минимальная материально-техническая, ресурсная база, для реализации плана проекта могут потребоваться дополнительные ресурсы;</w:t>
            </w:r>
          </w:p>
          <w:p>
            <w:pPr>
              <w:pStyle w:val="0"/>
              <w:jc w:val="both"/>
            </w:pPr>
            <w:r>
              <w:rPr>
                <w:sz w:val="20"/>
              </w:rPr>
              <w:t xml:space="preserve">0 - отсутствие материально-технической, ресурсной базы для реализации плана проекта;</w:t>
            </w:r>
          </w:p>
        </w:tc>
      </w:tr>
      <w:tr>
        <w:tc>
          <w:tcPr>
            <w:tcW w:w="519" w:type="dxa"/>
          </w:tcPr>
          <w:p>
            <w:pPr>
              <w:pStyle w:val="0"/>
              <w:jc w:val="center"/>
            </w:pPr>
            <w:r>
              <w:rPr>
                <w:sz w:val="20"/>
              </w:rPr>
              <w:t xml:space="preserve">4.</w:t>
            </w:r>
          </w:p>
        </w:tc>
        <w:tc>
          <w:tcPr>
            <w:tcW w:w="3000" w:type="dxa"/>
          </w:tcPr>
          <w:p>
            <w:pPr>
              <w:pStyle w:val="0"/>
              <w:jc w:val="both"/>
            </w:pPr>
            <w:r>
              <w:rPr>
                <w:sz w:val="20"/>
              </w:rPr>
              <w:t xml:space="preserve">Уровень квалификации персонала, реализующего проект в сфере социального предпринимательства</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высокий уровень квалификации персонала, наличие образования и опыта работы, соответствующих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высокий уровень квалификации персонала, наличие образования и опыта работы, соответствующих профилю деятельности участника отбора);</w:t>
            </w:r>
          </w:p>
          <w:p>
            <w:pPr>
              <w:pStyle w:val="0"/>
              <w:jc w:val="both"/>
            </w:pPr>
            <w:r>
              <w:rPr>
                <w:sz w:val="20"/>
              </w:rPr>
              <w:t xml:space="preserve">1 - средний уровень квалификации персонала, наличие образования, соответствующего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средний уровень квалификации персонала, наличие образования, соответствующего профилю деятельности участника отбора);</w:t>
            </w:r>
          </w:p>
          <w:p>
            <w:pPr>
              <w:pStyle w:val="0"/>
              <w:jc w:val="both"/>
            </w:pPr>
            <w:r>
              <w:rPr>
                <w:sz w:val="20"/>
              </w:rPr>
              <w:t xml:space="preserve">0 - отсутствие квалифицированного персонала для реализации бизнес-плана проекта;</w:t>
            </w:r>
          </w:p>
        </w:tc>
      </w:tr>
      <w:tr>
        <w:tc>
          <w:tcPr>
            <w:tcW w:w="519" w:type="dxa"/>
          </w:tcPr>
          <w:p>
            <w:pPr>
              <w:pStyle w:val="0"/>
              <w:jc w:val="center"/>
            </w:pPr>
            <w:r>
              <w:rPr>
                <w:sz w:val="20"/>
              </w:rPr>
              <w:t xml:space="preserve">5</w:t>
            </w:r>
          </w:p>
        </w:tc>
        <w:tc>
          <w:tcPr>
            <w:tcW w:w="3000" w:type="dxa"/>
          </w:tcPr>
          <w:p>
            <w:pPr>
              <w:pStyle w:val="0"/>
              <w:jc w:val="both"/>
            </w:pPr>
            <w:r>
              <w:rPr>
                <w:sz w:val="20"/>
              </w:rPr>
              <w:t xml:space="preserve">Обоснование востребованности товаров (работ, услуг) участника отбора и реализации плана продаж</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наличие подробного анализа рынка и документального подтверждения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w:t>
            </w:r>
          </w:p>
          <w:p>
            <w:pPr>
              <w:pStyle w:val="0"/>
              <w:jc w:val="both"/>
            </w:pPr>
            <w:r>
              <w:rPr>
                <w:sz w:val="20"/>
              </w:rPr>
              <w:t xml:space="preserve">1 - анализ рынка и документальное подтверждение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 требуют уточнения;</w:t>
            </w:r>
          </w:p>
          <w:p>
            <w:pPr>
              <w:pStyle w:val="0"/>
              <w:jc w:val="both"/>
            </w:pPr>
            <w:r>
              <w:rPr>
                <w:sz w:val="20"/>
              </w:rPr>
              <w:t xml:space="preserve">0 - отсутствие анализа рынка;</w:t>
            </w:r>
          </w:p>
        </w:tc>
      </w:tr>
      <w:tr>
        <w:tc>
          <w:tcPr>
            <w:tcW w:w="519" w:type="dxa"/>
          </w:tcPr>
          <w:p>
            <w:pPr>
              <w:pStyle w:val="0"/>
              <w:jc w:val="center"/>
            </w:pPr>
            <w:r>
              <w:rPr>
                <w:sz w:val="20"/>
              </w:rPr>
              <w:t xml:space="preserve">6</w:t>
            </w:r>
          </w:p>
        </w:tc>
        <w:tc>
          <w:tcPr>
            <w:tcW w:w="3000" w:type="dxa"/>
          </w:tcPr>
          <w:p>
            <w:pPr>
              <w:pStyle w:val="0"/>
              <w:jc w:val="both"/>
            </w:pPr>
            <w:r>
              <w:rPr>
                <w:sz w:val="20"/>
              </w:rPr>
              <w:t xml:space="preserve">Срок окупаемости проекта в сфере социального предпринимательства</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до 1,5 лет;</w:t>
            </w:r>
          </w:p>
          <w:p>
            <w:pPr>
              <w:pStyle w:val="0"/>
              <w:jc w:val="both"/>
            </w:pPr>
            <w:r>
              <w:rPr>
                <w:sz w:val="20"/>
              </w:rPr>
              <w:t xml:space="preserve">1 - от 1,5 до 3 лет;</w:t>
            </w:r>
          </w:p>
          <w:p>
            <w:pPr>
              <w:pStyle w:val="0"/>
              <w:jc w:val="both"/>
            </w:pPr>
            <w:r>
              <w:rPr>
                <w:sz w:val="20"/>
              </w:rPr>
              <w:t xml:space="preserve">0 - свыше 3 лет;</w:t>
            </w:r>
          </w:p>
        </w:tc>
      </w:tr>
      <w:tr>
        <w:tc>
          <w:tcPr>
            <w:tcW w:w="519" w:type="dxa"/>
          </w:tcPr>
          <w:p>
            <w:pPr>
              <w:pStyle w:val="0"/>
              <w:jc w:val="center"/>
            </w:pPr>
            <w:r>
              <w:rPr>
                <w:sz w:val="20"/>
              </w:rPr>
              <w:t xml:space="preserve">7.</w:t>
            </w:r>
          </w:p>
        </w:tc>
        <w:tc>
          <w:tcPr>
            <w:tcW w:w="3000" w:type="dxa"/>
          </w:tcPr>
          <w:p>
            <w:pPr>
              <w:pStyle w:val="0"/>
              <w:jc w:val="both"/>
            </w:pPr>
            <w:r>
              <w:rPr>
                <w:sz w:val="20"/>
              </w:rPr>
              <w:t xml:space="preserve">Информационная открытость (наличие информации об организации в информационно-телекоммуникационной сети "Интернет")</w:t>
            </w:r>
          </w:p>
        </w:tc>
        <w:tc>
          <w:tcPr>
            <w:tcW w:w="1537" w:type="dxa"/>
          </w:tcPr>
          <w:p>
            <w:pPr>
              <w:pStyle w:val="0"/>
              <w:jc w:val="center"/>
            </w:pPr>
            <w:r>
              <w:rPr>
                <w:sz w:val="20"/>
              </w:rPr>
              <w:t xml:space="preserve">0 - 2 баллов</w:t>
            </w:r>
          </w:p>
        </w:tc>
        <w:tc>
          <w:tcPr>
            <w:tcW w:w="4720" w:type="dxa"/>
          </w:tcPr>
          <w:p>
            <w:pPr>
              <w:pStyle w:val="0"/>
              <w:jc w:val="both"/>
            </w:pPr>
            <w:r>
              <w:rPr>
                <w:sz w:val="20"/>
              </w:rPr>
              <w:t xml:space="preserve">2 - наличие действующих: официального сайта участника отбора, иных публичных страниц в социальных сетях;</w:t>
            </w:r>
          </w:p>
          <w:p>
            <w:pPr>
              <w:pStyle w:val="0"/>
              <w:jc w:val="both"/>
            </w:pPr>
            <w:r>
              <w:rPr>
                <w:sz w:val="20"/>
              </w:rPr>
              <w:t xml:space="preserve">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pPr>
              <w:pStyle w:val="0"/>
              <w:jc w:val="both"/>
            </w:pPr>
            <w:r>
              <w:rPr>
                <w:sz w:val="20"/>
              </w:rPr>
              <w:t xml:space="preserve">0 - отсутствие у участника отбора официального сайта, иных публичных страниц в социальных сетях.</w:t>
            </w:r>
          </w:p>
        </w:tc>
      </w:tr>
    </w:tbl>
    <w:p>
      <w:pPr>
        <w:pStyle w:val="0"/>
        <w:jc w:val="both"/>
      </w:pPr>
      <w:r>
        <w:rPr>
          <w:sz w:val="20"/>
        </w:rPr>
      </w:r>
    </w:p>
    <w:p>
      <w:pPr>
        <w:pStyle w:val="0"/>
        <w:ind w:firstLine="540"/>
        <w:jc w:val="both"/>
      </w:pPr>
      <w:r>
        <w:rPr>
          <w:sz w:val="20"/>
        </w:rPr>
        <w:t xml:space="preserve">--------------------------------</w:t>
      </w:r>
    </w:p>
    <w:bookmarkStart w:id="315" w:name="P315"/>
    <w:bookmarkEnd w:id="315"/>
    <w:p>
      <w:pPr>
        <w:pStyle w:val="0"/>
        <w:spacing w:before="200" w:line-rule="auto"/>
        <w:ind w:firstLine="540"/>
        <w:jc w:val="both"/>
      </w:pPr>
      <w:r>
        <w:rPr>
          <w:sz w:val="20"/>
        </w:rPr>
        <w:t xml:space="preserve">&lt;1&gt; "Высокая степень детализации плана" предполагает наличие помесячной или поквартальной динамики показателей в Плане расходов и доходов реализации проекта с финансовым обоснованием.</w:t>
      </w:r>
    </w:p>
    <w:p>
      <w:pPr>
        <w:pStyle w:val="0"/>
        <w:jc w:val="both"/>
      </w:pPr>
      <w:r>
        <w:rPr>
          <w:sz w:val="20"/>
        </w:rPr>
      </w:r>
    </w:p>
    <w:p>
      <w:pPr>
        <w:pStyle w:val="0"/>
        <w:ind w:firstLine="540"/>
        <w:jc w:val="both"/>
      </w:pPr>
      <w:r>
        <w:rPr>
          <w:sz w:val="20"/>
        </w:rPr>
        <w:t xml:space="preserve">2.14.2. На реализацию молодым предпринимателем проекта в сфере предпринимательской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3"/>
        <w:gridCol w:w="2816"/>
        <w:gridCol w:w="1537"/>
        <w:gridCol w:w="4720"/>
      </w:tblGrid>
      <w:tr>
        <w:tc>
          <w:tcPr>
            <w:tcW w:w="703" w:type="dxa"/>
          </w:tcPr>
          <w:p>
            <w:pPr>
              <w:pStyle w:val="0"/>
              <w:jc w:val="center"/>
            </w:pPr>
            <w:r>
              <w:rPr>
                <w:sz w:val="20"/>
              </w:rPr>
              <w:t xml:space="preserve">N</w:t>
            </w:r>
          </w:p>
        </w:tc>
        <w:tc>
          <w:tcPr>
            <w:tcW w:w="2816" w:type="dxa"/>
          </w:tcPr>
          <w:p>
            <w:pPr>
              <w:pStyle w:val="0"/>
              <w:jc w:val="center"/>
            </w:pPr>
            <w:r>
              <w:rPr>
                <w:sz w:val="20"/>
              </w:rPr>
              <w:t xml:space="preserve">Критерий оценки</w:t>
            </w:r>
          </w:p>
        </w:tc>
        <w:tc>
          <w:tcPr>
            <w:tcW w:w="1537" w:type="dxa"/>
          </w:tcPr>
          <w:p>
            <w:pPr>
              <w:pStyle w:val="0"/>
              <w:jc w:val="center"/>
            </w:pPr>
            <w:r>
              <w:rPr>
                <w:sz w:val="20"/>
              </w:rPr>
              <w:t xml:space="preserve">Количество баллов</w:t>
            </w:r>
          </w:p>
        </w:tc>
        <w:tc>
          <w:tcPr>
            <w:tcW w:w="4720" w:type="dxa"/>
          </w:tcPr>
          <w:p>
            <w:pPr>
              <w:pStyle w:val="0"/>
              <w:jc w:val="center"/>
            </w:pPr>
            <w:r>
              <w:rPr>
                <w:sz w:val="20"/>
              </w:rPr>
              <w:t xml:space="preserve">Значение критерия</w:t>
            </w:r>
          </w:p>
        </w:tc>
      </w:tr>
      <w:tr>
        <w:tc>
          <w:tcPr>
            <w:tcW w:w="703" w:type="dxa"/>
          </w:tcPr>
          <w:p>
            <w:pPr>
              <w:pStyle w:val="0"/>
              <w:jc w:val="center"/>
            </w:pPr>
            <w:r>
              <w:rPr>
                <w:sz w:val="20"/>
              </w:rPr>
              <w:t xml:space="preserve">1.</w:t>
            </w:r>
          </w:p>
        </w:tc>
        <w:tc>
          <w:tcPr>
            <w:tcW w:w="2816" w:type="dxa"/>
          </w:tcPr>
          <w:p>
            <w:pPr>
              <w:pStyle w:val="0"/>
              <w:jc w:val="both"/>
            </w:pPr>
            <w:r>
              <w:rPr>
                <w:sz w:val="20"/>
              </w:rPr>
              <w:t xml:space="preserve">Степень детализации реализации плана проекта в краткосрочной перспективе (до одного года) и обоснованности потребности в финансовых ресурсах для его реализации</w:t>
            </w:r>
          </w:p>
        </w:tc>
        <w:tc>
          <w:tcPr>
            <w:tcW w:w="1537" w:type="dxa"/>
          </w:tcPr>
          <w:p>
            <w:pPr>
              <w:pStyle w:val="0"/>
              <w:jc w:val="center"/>
            </w:pPr>
            <w:r>
              <w:rPr>
                <w:sz w:val="20"/>
              </w:rPr>
              <w:t xml:space="preserve">0 - 2 баллов</w:t>
            </w:r>
          </w:p>
        </w:tc>
        <w:tc>
          <w:tcPr>
            <w:tcW w:w="4720" w:type="dxa"/>
          </w:tcPr>
          <w:p>
            <w:pPr>
              <w:pStyle w:val="0"/>
            </w:pPr>
            <w:r>
              <w:rPr>
                <w:sz w:val="20"/>
              </w:rPr>
              <w:t xml:space="preserve">2 - высокая степень детализации плана реализации проекта и обоснованности потребности в финансовых ресурсах </w:t>
            </w:r>
            <w:hyperlink w:history="0" w:anchor="P367" w:tooltip="&lt;1&gt; &quot;Высокая степень детализации плана&quot; предполагает наличие помесячной или поквартальной динамики показателей в Плане расходов и доходов реализации проекта с финансовым обоснованием.">
              <w:r>
                <w:rPr>
                  <w:sz w:val="20"/>
                  <w:color w:val="0000ff"/>
                </w:rPr>
                <w:t xml:space="preserve">&lt;1&gt;</w:t>
              </w:r>
            </w:hyperlink>
            <w:r>
              <w:rPr>
                <w:sz w:val="20"/>
              </w:rPr>
              <w:t xml:space="preserve">;</w:t>
            </w:r>
          </w:p>
          <w:p>
            <w:pPr>
              <w:pStyle w:val="0"/>
            </w:pPr>
            <w:r>
              <w:rPr>
                <w:sz w:val="20"/>
              </w:rPr>
              <w:t xml:space="preserve">1 - план реализации проекта требует уточнения;</w:t>
            </w:r>
          </w:p>
          <w:p>
            <w:pPr>
              <w:pStyle w:val="0"/>
            </w:pPr>
            <w:r>
              <w:rPr>
                <w:sz w:val="20"/>
              </w:rPr>
              <w:t xml:space="preserve">0 - отсутствие детального плана реализации проекта и обоснованности потребности в финансовых ресурсах;</w:t>
            </w:r>
          </w:p>
        </w:tc>
      </w:tr>
      <w:tr>
        <w:tc>
          <w:tcPr>
            <w:tcW w:w="703" w:type="dxa"/>
          </w:tcPr>
          <w:p>
            <w:pPr>
              <w:pStyle w:val="0"/>
              <w:jc w:val="center"/>
            </w:pPr>
            <w:r>
              <w:rPr>
                <w:sz w:val="20"/>
              </w:rPr>
              <w:t xml:space="preserve">2.</w:t>
            </w:r>
          </w:p>
        </w:tc>
        <w:tc>
          <w:tcPr>
            <w:tcW w:w="2816" w:type="dxa"/>
          </w:tcPr>
          <w:p>
            <w:pPr>
              <w:pStyle w:val="0"/>
              <w:jc w:val="center"/>
            </w:pPr>
            <w:r>
              <w:rPr>
                <w:sz w:val="20"/>
              </w:rPr>
              <w:t xml:space="preserve">Уникальность проекта</w:t>
            </w:r>
          </w:p>
        </w:tc>
        <w:tc>
          <w:tcPr>
            <w:tcW w:w="1537" w:type="dxa"/>
          </w:tcPr>
          <w:p>
            <w:pPr>
              <w:pStyle w:val="0"/>
              <w:jc w:val="center"/>
            </w:pPr>
            <w:r>
              <w:rPr>
                <w:sz w:val="20"/>
              </w:rPr>
              <w:t xml:space="preserve">0 - 2 баллов</w:t>
            </w:r>
          </w:p>
        </w:tc>
        <w:tc>
          <w:tcPr>
            <w:tcW w:w="4720" w:type="dxa"/>
          </w:tcPr>
          <w:p>
            <w:pPr>
              <w:pStyle w:val="0"/>
            </w:pPr>
            <w:r>
              <w:rPr>
                <w:sz w:val="20"/>
              </w:rPr>
              <w:t xml:space="preserve">2 - обозначена и аргументирована уникальность проекта, а также содержится концепция будущего бизнеса;</w:t>
            </w:r>
          </w:p>
          <w:p>
            <w:pPr>
              <w:pStyle w:val="0"/>
            </w:pPr>
            <w:r>
              <w:rPr>
                <w:sz w:val="20"/>
              </w:rPr>
              <w:t xml:space="preserve">1 - проект не уникален, но идеи описаны;</w:t>
            </w:r>
          </w:p>
          <w:p>
            <w:pPr>
              <w:pStyle w:val="0"/>
            </w:pPr>
            <w:r>
              <w:rPr>
                <w:sz w:val="20"/>
              </w:rPr>
              <w:t xml:space="preserve">0 - проект не уникален, отсутствует концепция развития проекта.</w:t>
            </w:r>
          </w:p>
        </w:tc>
      </w:tr>
      <w:tr>
        <w:tc>
          <w:tcPr>
            <w:tcW w:w="703" w:type="dxa"/>
          </w:tcPr>
          <w:p>
            <w:pPr>
              <w:pStyle w:val="0"/>
              <w:jc w:val="center"/>
            </w:pPr>
            <w:r>
              <w:rPr>
                <w:sz w:val="20"/>
              </w:rPr>
              <w:t xml:space="preserve">3.</w:t>
            </w:r>
          </w:p>
        </w:tc>
        <w:tc>
          <w:tcPr>
            <w:tcW w:w="2816" w:type="dxa"/>
          </w:tcPr>
          <w:p>
            <w:pPr>
              <w:pStyle w:val="0"/>
              <w:jc w:val="both"/>
            </w:pPr>
            <w:r>
              <w:rPr>
                <w:sz w:val="20"/>
              </w:rPr>
              <w:t xml:space="preserve">Обоснованность практической значимости проекта для реального сектора экономики</w:t>
            </w:r>
          </w:p>
        </w:tc>
        <w:tc>
          <w:tcPr>
            <w:tcW w:w="1537" w:type="dxa"/>
          </w:tcPr>
          <w:p>
            <w:pPr>
              <w:pStyle w:val="0"/>
              <w:jc w:val="center"/>
            </w:pPr>
            <w:r>
              <w:rPr>
                <w:sz w:val="20"/>
              </w:rPr>
              <w:t xml:space="preserve">0 - 2 баллов</w:t>
            </w:r>
          </w:p>
        </w:tc>
        <w:tc>
          <w:tcPr>
            <w:tcW w:w="4720" w:type="dxa"/>
          </w:tcPr>
          <w:p>
            <w:pPr>
              <w:pStyle w:val="0"/>
            </w:pPr>
            <w:r>
              <w:rPr>
                <w:sz w:val="20"/>
              </w:rPr>
              <w:t xml:space="preserve">2 - аргументирована применимость проекта в реальных жизненных условиях и конкретизирована сфера, в которой будет реализован проект;</w:t>
            </w:r>
          </w:p>
          <w:p>
            <w:pPr>
              <w:pStyle w:val="0"/>
            </w:pPr>
            <w:r>
              <w:rPr>
                <w:sz w:val="20"/>
              </w:rPr>
              <w:t xml:space="preserve">1 - представлена информация о возможности практического применения проекта без конкретизации сферы, в которой будет решена проблема;</w:t>
            </w:r>
          </w:p>
          <w:p>
            <w:pPr>
              <w:pStyle w:val="0"/>
            </w:pPr>
            <w:r>
              <w:rPr>
                <w:sz w:val="20"/>
              </w:rPr>
              <w:t xml:space="preserve">0 - отсутствие практической значимости для региона.</w:t>
            </w:r>
          </w:p>
        </w:tc>
      </w:tr>
      <w:tr>
        <w:tc>
          <w:tcPr>
            <w:tcW w:w="703" w:type="dxa"/>
          </w:tcPr>
          <w:p>
            <w:pPr>
              <w:pStyle w:val="0"/>
              <w:jc w:val="center"/>
            </w:pPr>
            <w:r>
              <w:rPr>
                <w:sz w:val="20"/>
              </w:rPr>
              <w:t xml:space="preserve">4.</w:t>
            </w:r>
          </w:p>
        </w:tc>
        <w:tc>
          <w:tcPr>
            <w:tcW w:w="2816" w:type="dxa"/>
          </w:tcPr>
          <w:p>
            <w:pPr>
              <w:pStyle w:val="0"/>
              <w:jc w:val="both"/>
            </w:pPr>
            <w:r>
              <w:rPr>
                <w:sz w:val="20"/>
              </w:rPr>
              <w:t xml:space="preserve">Обоснование востребованности товаров (работ, услуг) участника отбора и реализации плана продаж</w:t>
            </w:r>
          </w:p>
        </w:tc>
        <w:tc>
          <w:tcPr>
            <w:tcW w:w="1537" w:type="dxa"/>
          </w:tcPr>
          <w:p>
            <w:pPr>
              <w:pStyle w:val="0"/>
              <w:jc w:val="center"/>
            </w:pPr>
            <w:r>
              <w:rPr>
                <w:sz w:val="20"/>
              </w:rPr>
              <w:t xml:space="preserve">0 - 2 баллов</w:t>
            </w:r>
          </w:p>
        </w:tc>
        <w:tc>
          <w:tcPr>
            <w:tcW w:w="4720" w:type="dxa"/>
          </w:tcPr>
          <w:p>
            <w:pPr>
              <w:pStyle w:val="0"/>
            </w:pPr>
            <w:r>
              <w:rPr>
                <w:sz w:val="20"/>
              </w:rPr>
              <w:t xml:space="preserve">2 - целевой рынок описан, составлен образ потенциального клиента, проведен анализ конкурентов;</w:t>
            </w:r>
          </w:p>
          <w:p>
            <w:pPr>
              <w:pStyle w:val="0"/>
            </w:pPr>
            <w:r>
              <w:rPr>
                <w:sz w:val="20"/>
              </w:rPr>
              <w:t xml:space="preserve">1 - анализ рынка и организационная составляющая проекта требуют уточнения;</w:t>
            </w:r>
          </w:p>
          <w:p>
            <w:pPr>
              <w:pStyle w:val="0"/>
            </w:pPr>
            <w:r>
              <w:rPr>
                <w:sz w:val="20"/>
              </w:rPr>
              <w:t xml:space="preserve">0 - отсутствие анализа рынка;</w:t>
            </w:r>
          </w:p>
        </w:tc>
      </w:tr>
      <w:tr>
        <w:tc>
          <w:tcPr>
            <w:tcW w:w="703" w:type="dxa"/>
          </w:tcPr>
          <w:p>
            <w:pPr>
              <w:pStyle w:val="0"/>
              <w:jc w:val="center"/>
            </w:pPr>
            <w:r>
              <w:rPr>
                <w:sz w:val="20"/>
              </w:rPr>
              <w:t xml:space="preserve">5.</w:t>
            </w:r>
          </w:p>
        </w:tc>
        <w:tc>
          <w:tcPr>
            <w:tcW w:w="2816" w:type="dxa"/>
          </w:tcPr>
          <w:p>
            <w:pPr>
              <w:pStyle w:val="0"/>
              <w:jc w:val="both"/>
            </w:pPr>
            <w:r>
              <w:rPr>
                <w:sz w:val="20"/>
              </w:rPr>
              <w:t xml:space="preserve">Экономическая эффективность проекта</w:t>
            </w:r>
          </w:p>
        </w:tc>
        <w:tc>
          <w:tcPr>
            <w:tcW w:w="1537" w:type="dxa"/>
          </w:tcPr>
          <w:p>
            <w:pPr>
              <w:pStyle w:val="0"/>
              <w:jc w:val="center"/>
            </w:pPr>
            <w:r>
              <w:rPr>
                <w:sz w:val="20"/>
              </w:rPr>
              <w:t xml:space="preserve">0 - 2 баллов</w:t>
            </w:r>
          </w:p>
        </w:tc>
        <w:tc>
          <w:tcPr>
            <w:tcW w:w="4720" w:type="dxa"/>
          </w:tcPr>
          <w:p>
            <w:pPr>
              <w:pStyle w:val="0"/>
            </w:pPr>
            <w:r>
              <w:rPr>
                <w:sz w:val="20"/>
              </w:rPr>
              <w:t xml:space="preserve">2 -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w:t>
            </w:r>
          </w:p>
          <w:p>
            <w:pPr>
              <w:pStyle w:val="0"/>
            </w:pPr>
            <w:r>
              <w:rPr>
                <w:sz w:val="20"/>
              </w:rPr>
              <w:t xml:space="preserve">1 -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 но показатели находятся ниже пределов рынка;</w:t>
            </w:r>
          </w:p>
          <w:p>
            <w:pPr>
              <w:pStyle w:val="0"/>
            </w:pPr>
            <w:r>
              <w:rPr>
                <w:sz w:val="20"/>
              </w:rPr>
              <w:t xml:space="preserve">0 - экономическая эффективность не рассчитана или рассчитана без приведения информации по аналогичным проектам.</w:t>
            </w:r>
          </w:p>
        </w:tc>
      </w:tr>
      <w:tr>
        <w:tc>
          <w:tcPr>
            <w:tcW w:w="703" w:type="dxa"/>
          </w:tcPr>
          <w:p>
            <w:pPr>
              <w:pStyle w:val="0"/>
              <w:jc w:val="center"/>
            </w:pPr>
            <w:r>
              <w:rPr>
                <w:sz w:val="20"/>
              </w:rPr>
              <w:t xml:space="preserve">6.</w:t>
            </w:r>
          </w:p>
        </w:tc>
        <w:tc>
          <w:tcPr>
            <w:tcW w:w="2816" w:type="dxa"/>
          </w:tcPr>
          <w:p>
            <w:pPr>
              <w:pStyle w:val="0"/>
              <w:jc w:val="both"/>
            </w:pPr>
            <w:r>
              <w:rPr>
                <w:sz w:val="20"/>
              </w:rPr>
              <w:t xml:space="preserve">Наличие собственных средств в проекте</w:t>
            </w:r>
          </w:p>
        </w:tc>
        <w:tc>
          <w:tcPr>
            <w:tcW w:w="1537" w:type="dxa"/>
          </w:tcPr>
          <w:p>
            <w:pPr>
              <w:pStyle w:val="0"/>
              <w:jc w:val="center"/>
            </w:pPr>
            <w:r>
              <w:rPr>
                <w:sz w:val="20"/>
              </w:rPr>
              <w:t xml:space="preserve">0 - 2 баллов</w:t>
            </w:r>
          </w:p>
        </w:tc>
        <w:tc>
          <w:tcPr>
            <w:tcW w:w="4720" w:type="dxa"/>
          </w:tcPr>
          <w:p>
            <w:pPr>
              <w:pStyle w:val="0"/>
            </w:pPr>
            <w:r>
              <w:rPr>
                <w:sz w:val="20"/>
              </w:rPr>
              <w:t xml:space="preserve">2 - наличие собственной материально-технической, ресурсной базы для реализации плана проекта;</w:t>
            </w:r>
          </w:p>
          <w:p>
            <w:pPr>
              <w:pStyle w:val="0"/>
            </w:pPr>
            <w:r>
              <w:rPr>
                <w:sz w:val="20"/>
              </w:rPr>
              <w:t xml:space="preserve">1 - имеется минимальная материально-техническая, ресурсная база, для реализации плана проекта могут потребоваться дополнительные ресурсы;</w:t>
            </w:r>
          </w:p>
          <w:p>
            <w:pPr>
              <w:pStyle w:val="0"/>
            </w:pPr>
            <w:r>
              <w:rPr>
                <w:sz w:val="20"/>
              </w:rPr>
              <w:t xml:space="preserve">0 - отсутствие материально-технической, ресурсной базы для реализации плана проекта;</w:t>
            </w:r>
          </w:p>
        </w:tc>
      </w:tr>
      <w:tr>
        <w:tc>
          <w:tcPr>
            <w:tcW w:w="703" w:type="dxa"/>
          </w:tcPr>
          <w:p>
            <w:pPr>
              <w:pStyle w:val="0"/>
              <w:jc w:val="center"/>
            </w:pPr>
            <w:r>
              <w:rPr>
                <w:sz w:val="20"/>
              </w:rPr>
              <w:t xml:space="preserve">7.</w:t>
            </w:r>
          </w:p>
        </w:tc>
        <w:tc>
          <w:tcPr>
            <w:tcW w:w="2816" w:type="dxa"/>
          </w:tcPr>
          <w:p>
            <w:pPr>
              <w:pStyle w:val="0"/>
              <w:jc w:val="both"/>
            </w:pPr>
            <w:r>
              <w:rPr>
                <w:sz w:val="20"/>
              </w:rPr>
              <w:t xml:space="preserve">Информационная открытость (наличие информации об организации в информационно-телекоммуникационной сети "Интернет")</w:t>
            </w:r>
          </w:p>
        </w:tc>
        <w:tc>
          <w:tcPr>
            <w:tcW w:w="1537" w:type="dxa"/>
          </w:tcPr>
          <w:p>
            <w:pPr>
              <w:pStyle w:val="0"/>
              <w:jc w:val="center"/>
            </w:pPr>
            <w:r>
              <w:rPr>
                <w:sz w:val="20"/>
              </w:rPr>
              <w:t xml:space="preserve">0 - 2 баллов</w:t>
            </w:r>
          </w:p>
        </w:tc>
        <w:tc>
          <w:tcPr>
            <w:tcW w:w="4720" w:type="dxa"/>
          </w:tcPr>
          <w:p>
            <w:pPr>
              <w:pStyle w:val="0"/>
            </w:pPr>
            <w:r>
              <w:rPr>
                <w:sz w:val="20"/>
              </w:rPr>
              <w:t xml:space="preserve">2 - наличие действующих: официального сайта участника отбора, иных публичных страниц в социальных сетях;</w:t>
            </w:r>
          </w:p>
          <w:p>
            <w:pPr>
              <w:pStyle w:val="0"/>
            </w:pPr>
            <w:r>
              <w:rPr>
                <w:sz w:val="20"/>
              </w:rPr>
              <w:t xml:space="preserve">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pPr>
              <w:pStyle w:val="0"/>
            </w:pPr>
            <w:r>
              <w:rPr>
                <w:sz w:val="20"/>
              </w:rPr>
              <w:t xml:space="preserve">0 - отсутствие у участника отбора официального сайта, иных публичных страниц в социальных сетях.</w:t>
            </w:r>
          </w:p>
        </w:tc>
      </w:tr>
    </w:tbl>
    <w:p>
      <w:pPr>
        <w:pStyle w:val="0"/>
        <w:jc w:val="both"/>
      </w:pPr>
      <w:r>
        <w:rPr>
          <w:sz w:val="20"/>
        </w:rPr>
      </w:r>
    </w:p>
    <w:p>
      <w:pPr>
        <w:pStyle w:val="0"/>
        <w:ind w:firstLine="540"/>
        <w:jc w:val="both"/>
      </w:pPr>
      <w:r>
        <w:rPr>
          <w:sz w:val="20"/>
        </w:rPr>
        <w:t xml:space="preserve">--------------------------------</w:t>
      </w:r>
    </w:p>
    <w:bookmarkStart w:id="367" w:name="P367"/>
    <w:bookmarkEnd w:id="367"/>
    <w:p>
      <w:pPr>
        <w:pStyle w:val="0"/>
        <w:spacing w:before="200" w:line-rule="auto"/>
        <w:ind w:firstLine="540"/>
        <w:jc w:val="both"/>
      </w:pPr>
      <w:r>
        <w:rPr>
          <w:sz w:val="20"/>
        </w:rPr>
        <w:t xml:space="preserve">&lt;1&gt; "Высокая степень детализации плана" предполагает наличие помесячной или поквартальной динамики показателей в Плане расходов и доходов реализации проекта с финансовым обоснованием.</w:t>
      </w:r>
    </w:p>
    <w:p>
      <w:pPr>
        <w:pStyle w:val="0"/>
        <w:jc w:val="both"/>
      </w:pPr>
      <w:r>
        <w:rPr>
          <w:sz w:val="20"/>
        </w:rPr>
        <w:t xml:space="preserve">(п. 2.14 в ред. </w:t>
      </w:r>
      <w:hyperlink w:history="0" r:id="rId13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jc w:val="both"/>
      </w:pPr>
      <w:r>
        <w:rPr>
          <w:sz w:val="20"/>
        </w:rPr>
      </w:r>
    </w:p>
    <w:p>
      <w:pPr>
        <w:pStyle w:val="0"/>
        <w:ind w:firstLine="540"/>
        <w:jc w:val="both"/>
      </w:pPr>
      <w:r>
        <w:rPr>
          <w:sz w:val="20"/>
        </w:rPr>
        <w:t xml:space="preserve">2.15. Оценки по каждому критерию суммируются отдельно и делятся на количество членов Комиссии, принявших участие в голосовании, формируя среднее значение оценки по каждому критерию. Средние значения оценок по всем критериям суммируются и определяют значение среднего балла оценки проекта.</w:t>
      </w:r>
    </w:p>
    <w:p>
      <w:pPr>
        <w:pStyle w:val="0"/>
        <w:jc w:val="both"/>
      </w:pPr>
      <w:r>
        <w:rPr>
          <w:sz w:val="20"/>
        </w:rPr>
        <w:t xml:space="preserve">(в ред. </w:t>
      </w:r>
      <w:hyperlink w:history="0" r:id="rId135"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pPr>
        <w:pStyle w:val="0"/>
        <w:spacing w:before="200" w:line-rule="auto"/>
        <w:ind w:firstLine="540"/>
        <w:jc w:val="both"/>
      </w:pPr>
      <w:r>
        <w:rPr>
          <w:sz w:val="20"/>
        </w:rPr>
        <w:t xml:space="preserve">2.16. В случае наличия заявок, имеющих одинаковое количество баллов, более высокий порядковый номер присваивается заявке, поступившей в более раннюю дату, а при совпадении дат - в более раннее время.</w:t>
      </w:r>
    </w:p>
    <w:bookmarkStart w:id="374" w:name="P374"/>
    <w:bookmarkEnd w:id="374"/>
    <w:p>
      <w:pPr>
        <w:pStyle w:val="0"/>
        <w:spacing w:before="200" w:line-rule="auto"/>
        <w:ind w:firstLine="540"/>
        <w:jc w:val="both"/>
      </w:pPr>
      <w:r>
        <w:rPr>
          <w:sz w:val="20"/>
        </w:rPr>
        <w:t xml:space="preserve">2.17. Гранты предоставляются участникам отбора, набравшим не менее 7 баллов.</w:t>
      </w:r>
    </w:p>
    <w:p>
      <w:pPr>
        <w:pStyle w:val="0"/>
        <w:spacing w:before="200" w:line-rule="auto"/>
        <w:ind w:firstLine="540"/>
        <w:jc w:val="both"/>
      </w:pPr>
      <w:r>
        <w:rPr>
          <w:sz w:val="20"/>
        </w:rPr>
        <w:t xml:space="preserve">В случае если сумма грантов участников отбора, набравших не менее 7 баллов, превышает установленный предельный объем лимита бюджетных обязательств на данную форму финансовой поддержки, гранты в полном объеме предоставляются участникам отбора, заявкам которых присвоен более высокий порядковый номер.</w:t>
      </w:r>
    </w:p>
    <w:bookmarkStart w:id="376" w:name="P376"/>
    <w:bookmarkEnd w:id="376"/>
    <w:p>
      <w:pPr>
        <w:pStyle w:val="0"/>
        <w:spacing w:before="200" w:line-rule="auto"/>
        <w:ind w:firstLine="540"/>
        <w:jc w:val="both"/>
      </w:pPr>
      <w:r>
        <w:rPr>
          <w:sz w:val="20"/>
        </w:rPr>
        <w:t xml:space="preserve">2.18. Участник отбора, представивший заявочные документы на участие в отборе, вправе в любое время до рассмотрения заявочных документов на заседании Комиссии:</w:t>
      </w:r>
    </w:p>
    <w:p>
      <w:pPr>
        <w:pStyle w:val="0"/>
        <w:spacing w:before="200" w:line-rule="auto"/>
        <w:ind w:firstLine="540"/>
        <w:jc w:val="both"/>
      </w:pPr>
      <w:r>
        <w:rPr>
          <w:sz w:val="20"/>
        </w:rPr>
        <w:t xml:space="preserve">- отозвать заявочные документы путем направления официального письменного уведомления в Фонд (датой отзыва является дата регистрации официального письменного уведомления участника отбора);</w:t>
      </w:r>
    </w:p>
    <w:p>
      <w:pPr>
        <w:pStyle w:val="0"/>
        <w:spacing w:before="200" w:line-rule="auto"/>
        <w:ind w:firstLine="540"/>
        <w:jc w:val="both"/>
      </w:pPr>
      <w:r>
        <w:rPr>
          <w:sz w:val="20"/>
        </w:rPr>
        <w:t xml:space="preserve">- изменить заявочные документы путем направления официального письменного уведомления в Фонд об отзыве заявочных документов и подачи нового комплекта документов.</w:t>
      </w:r>
    </w:p>
    <w:p>
      <w:pPr>
        <w:pStyle w:val="0"/>
        <w:spacing w:before="200" w:line-rule="auto"/>
        <w:ind w:firstLine="540"/>
        <w:jc w:val="both"/>
      </w:pPr>
      <w:r>
        <w:rPr>
          <w:sz w:val="20"/>
        </w:rPr>
        <w:t xml:space="preserve">Отозванные документы не учитываются при подсчете количества документов, представленных для участия в Конкурсе.</w:t>
      </w:r>
    </w:p>
    <w:p>
      <w:pPr>
        <w:pStyle w:val="0"/>
        <w:spacing w:before="200" w:line-rule="auto"/>
        <w:ind w:firstLine="540"/>
        <w:jc w:val="both"/>
      </w:pPr>
      <w:r>
        <w:rPr>
          <w:sz w:val="20"/>
        </w:rPr>
        <w:t xml:space="preserve">2.19. Результаты заседания Комиссии в течение 2 рабочих дней со дня, следующего за днем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pPr>
        <w:pStyle w:val="0"/>
        <w:spacing w:before="200" w:line-rule="auto"/>
        <w:ind w:firstLine="540"/>
        <w:jc w:val="both"/>
      </w:pPr>
      <w:r>
        <w:rPr>
          <w:sz w:val="20"/>
        </w:rPr>
        <w:t xml:space="preserve">2.20. Фонд в течение 5 рабочих дней со дня, следующего за днем заседания Комиссии, направляет в Уполномоченный орган утвержденный Протокол.</w:t>
      </w:r>
    </w:p>
    <w:p>
      <w:pPr>
        <w:pStyle w:val="0"/>
        <w:jc w:val="both"/>
      </w:pPr>
      <w:r>
        <w:rPr>
          <w:sz w:val="20"/>
        </w:rPr>
        <w:t xml:space="preserve">(в ред. </w:t>
      </w:r>
      <w:hyperlink w:history="0" r:id="rId13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383" w:name="P383"/>
    <w:bookmarkEnd w:id="383"/>
    <w:p>
      <w:pPr>
        <w:pStyle w:val="0"/>
        <w:spacing w:before="200" w:line-rule="auto"/>
        <w:ind w:firstLine="540"/>
        <w:jc w:val="both"/>
      </w:pPr>
      <w:r>
        <w:rPr>
          <w:sz w:val="20"/>
        </w:rPr>
        <w:t xml:space="preserve">2.21. В течение 5 рабочих дней со дня, следующего за днем принятия Уполномоченным органом решения, указанного в </w:t>
      </w:r>
      <w:hyperlink w:history="0" w:anchor="P400" w:tooltip="3.1. Уполномоченным органом в течение трех рабочих дней со дня, следующего за днем получения Протокола, принимается решение о предоставлении гранта или об отказе в предоставлении гранта с указанием причин отказа, предусмотренных пунктом 3.6 настоящего Порядка.">
        <w:r>
          <w:rPr>
            <w:sz w:val="20"/>
            <w:color w:val="0000ff"/>
          </w:rPr>
          <w:t xml:space="preserve">пункте 3.1</w:t>
        </w:r>
      </w:hyperlink>
      <w:r>
        <w:rPr>
          <w:sz w:val="20"/>
        </w:rPr>
        <w:t xml:space="preserve"> настоящего Порядка (определение победителя (победителей) отбора), Уполномоченный орган размещает информацию о результатах рассмотрения заявочных документов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органов государственной власти Тюменской области в информационно-телекоммуникационной сети "Интернет" (в разделе Уполномоченного органа), включающую следующие сведения:</w:t>
      </w:r>
    </w:p>
    <w:p>
      <w:pPr>
        <w:pStyle w:val="0"/>
        <w:jc w:val="both"/>
      </w:pPr>
      <w:r>
        <w:rPr>
          <w:sz w:val="20"/>
        </w:rPr>
        <w:t xml:space="preserve">(в ред. </w:t>
      </w:r>
      <w:hyperlink w:history="0" r:id="rId137"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 (ред. 09.10.2023))</w:t>
      </w:r>
    </w:p>
    <w:p>
      <w:pPr>
        <w:pStyle w:val="0"/>
        <w:spacing w:before="200" w:line-rule="auto"/>
        <w:ind w:firstLine="540"/>
        <w:jc w:val="both"/>
      </w:pPr>
      <w:r>
        <w:rPr>
          <w:sz w:val="20"/>
        </w:rPr>
        <w:t xml:space="preserve">дату, время и место проведения рассмотрения заявочных документов;</w:t>
      </w:r>
    </w:p>
    <w:p>
      <w:pPr>
        <w:pStyle w:val="0"/>
        <w:spacing w:before="200" w:line-rule="auto"/>
        <w:ind w:firstLine="540"/>
        <w:jc w:val="both"/>
      </w:pPr>
      <w:r>
        <w:rPr>
          <w:sz w:val="20"/>
        </w:rPr>
        <w:t xml:space="preserve">дату, время и место оценки заявочных документов участников отбора;</w:t>
      </w:r>
    </w:p>
    <w:p>
      <w:pPr>
        <w:pStyle w:val="0"/>
        <w:spacing w:before="200" w:line-rule="auto"/>
        <w:ind w:firstLine="540"/>
        <w:jc w:val="both"/>
      </w:pPr>
      <w:r>
        <w:rPr>
          <w:sz w:val="20"/>
        </w:rPr>
        <w:t xml:space="preserve">информацию об участниках отбора, заявочные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заявочные документы которых были отклонены, с указанием причин их отклонения в соответствии с </w:t>
      </w:r>
      <w:hyperlink w:history="0" w:anchor="P246" w:tooltip="2.11. Основаниями для отклонения заявки участника отбора на стадии рассмотрения и оценки заявок являются:">
        <w:r>
          <w:rPr>
            <w:sz w:val="20"/>
            <w:color w:val="0000ff"/>
          </w:rPr>
          <w:t xml:space="preserve">пунктом 2.11</w:t>
        </w:r>
      </w:hyperlink>
      <w:r>
        <w:rPr>
          <w:sz w:val="20"/>
        </w:rPr>
        <w:t xml:space="preserve"> настоящего Порядка, в том числе положений объявления о проведении отбора, которым не соответствуют такие заявочные документы;</w:t>
      </w:r>
    </w:p>
    <w:p>
      <w:pPr>
        <w:pStyle w:val="0"/>
        <w:spacing w:before="200" w:line-rule="auto"/>
        <w:ind w:firstLine="540"/>
        <w:jc w:val="both"/>
      </w:pPr>
      <w:r>
        <w:rPr>
          <w:sz w:val="20"/>
        </w:rPr>
        <w:t xml:space="preserve">последовательность оценки заявочных документов участников отбора, присвоенные заявочным документам участников отбора значения по каждому из предусмотренных критериев оценки заявочных документов участников отбора, принятое на основании результатов оценки указанных предложений решение о присвоении таким заявочным документам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информацию о предложении гранта в пределах остатка лимитов бюджетных обязательств согласно </w:t>
      </w:r>
      <w:hyperlink w:history="0" w:anchor="P402" w:tooltip="В случае недостаточности лимитов бюджетных обязательств на финансирование очередного проекта в сфере социального предпринимательства в соответствии с рейтингом участников отбора в полном объеме и при отсутствии оснований для отказа, предусмотренных пунктом 3.6 настоящего Порядка, Уполномоченный орган в течение трех рабочих дней со дня, следующего за днем получения Протокола, принимает решение о предложении гранта в пределах остатка лимитов бюджетных обязательств, предусмотренных на эти цели в областном б...">
        <w:r>
          <w:rPr>
            <w:sz w:val="20"/>
            <w:color w:val="0000ff"/>
          </w:rPr>
          <w:t xml:space="preserve">абзацу второму пункта 3.1</w:t>
        </w:r>
      </w:hyperlink>
      <w:r>
        <w:rPr>
          <w:sz w:val="20"/>
        </w:rPr>
        <w:t xml:space="preserve"> настоящего Порядка (при наличии решения Уполномоченного органа о предложении гранта в пределах остатка лимитов бюджетных обязательств).</w:t>
      </w:r>
    </w:p>
    <w:p>
      <w:pPr>
        <w:pStyle w:val="0"/>
        <w:jc w:val="both"/>
      </w:pPr>
      <w:r>
        <w:rPr>
          <w:sz w:val="20"/>
        </w:rPr>
        <w:t xml:space="preserve">(п. 2.21 введен </w:t>
      </w:r>
      <w:hyperlink w:history="0" r:id="rId13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bookmarkStart w:id="393" w:name="P393"/>
    <w:bookmarkEnd w:id="393"/>
    <w:p>
      <w:pPr>
        <w:pStyle w:val="0"/>
        <w:spacing w:before="200" w:line-rule="auto"/>
        <w:ind w:firstLine="540"/>
        <w:jc w:val="both"/>
      </w:pPr>
      <w:r>
        <w:rPr>
          <w:sz w:val="20"/>
        </w:rPr>
        <w:t xml:space="preserve">2.22. В случае принятия Уполномоченным органом Дополнительного решения, указанного в </w:t>
      </w:r>
      <w:hyperlink w:history="0" w:anchor="P405" w:tooltip="Уполномоченный орган в течение двух рабочих дней со дня, следующего за днем истечения срока на представление в Уполномоченный орган участниками отбора, получившими предложение от Уполномоченного органа получить грант в пределах остатка лимитов бюджетных обязательств, предусмотренных на эти цели в областном бюджете на текущий финансовый год, согласия на получение гранта принимает дополнительное решение о предоставлении гранта участникам отбора, на финансирование проектов которых в полном объеме недостаточ...">
        <w:r>
          <w:rPr>
            <w:sz w:val="20"/>
            <w:color w:val="0000ff"/>
          </w:rPr>
          <w:t xml:space="preserve">абзаце четвертом пункта 3.1</w:t>
        </w:r>
      </w:hyperlink>
      <w:r>
        <w:rPr>
          <w:sz w:val="20"/>
        </w:rPr>
        <w:t xml:space="preserve"> настоящего Порядка, Уполномоченный орган в течение 5 рабочих дней со дня, следующего за днем принятия Дополнительного решения, размещает на едином портале и Официальном портале органов государственной власти Тюменской области в информационно-телекоммуникационной сети "Интернет" (в разделе Уполномоченного органа) информацию о наименовании получателя (получателей) гранта, с которым заключается Соглашение, и размер предоставляемого ему гранта.</w:t>
      </w:r>
    </w:p>
    <w:p>
      <w:pPr>
        <w:pStyle w:val="0"/>
        <w:jc w:val="both"/>
      </w:pPr>
      <w:r>
        <w:rPr>
          <w:sz w:val="20"/>
        </w:rPr>
        <w:t xml:space="preserve">(п. 2.22 введен </w:t>
      </w:r>
      <w:hyperlink w:history="0" r:id="rId13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center"/>
      </w:pPr>
      <w:r>
        <w:rPr>
          <w:sz w:val="20"/>
        </w:rPr>
        <w:t xml:space="preserve">(в ред. </w:t>
      </w:r>
      <w:hyperlink w:history="0" r:id="rId14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09.10.2023 N 653-п)</w:t>
      </w:r>
    </w:p>
    <w:p>
      <w:pPr>
        <w:pStyle w:val="0"/>
        <w:jc w:val="both"/>
      </w:pPr>
      <w:r>
        <w:rPr>
          <w:sz w:val="20"/>
        </w:rPr>
      </w:r>
    </w:p>
    <w:bookmarkStart w:id="400" w:name="P400"/>
    <w:bookmarkEnd w:id="400"/>
    <w:p>
      <w:pPr>
        <w:pStyle w:val="0"/>
        <w:ind w:firstLine="540"/>
        <w:jc w:val="both"/>
      </w:pPr>
      <w:r>
        <w:rPr>
          <w:sz w:val="20"/>
        </w:rPr>
        <w:t xml:space="preserve">3.1. Уполномоченным органом в течение трех рабочих дней со дня, следующего за днем получения Протокола, принимается решение о предоставлении гранта или об отказе в предоставлении гранта с указанием причин отказа, предусмотренных </w:t>
      </w:r>
      <w:hyperlink w:history="0" w:anchor="P418" w:tooltip="3.6. Основаниями для отказа в предоставлении гранта являются:">
        <w:r>
          <w:rPr>
            <w:sz w:val="20"/>
            <w:color w:val="0000ff"/>
          </w:rPr>
          <w:t xml:space="preserve">пунктом 3.6</w:t>
        </w:r>
      </w:hyperlink>
      <w:r>
        <w:rPr>
          <w:sz w:val="20"/>
        </w:rPr>
        <w:t xml:space="preserve"> настоящего Порядка.</w:t>
      </w:r>
    </w:p>
    <w:p>
      <w:pPr>
        <w:pStyle w:val="0"/>
        <w:jc w:val="both"/>
      </w:pPr>
      <w:r>
        <w:rPr>
          <w:sz w:val="20"/>
        </w:rPr>
        <w:t xml:space="preserve">(в ред. </w:t>
      </w:r>
      <w:hyperlink w:history="0" r:id="rId14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402" w:name="P402"/>
    <w:bookmarkEnd w:id="402"/>
    <w:p>
      <w:pPr>
        <w:pStyle w:val="0"/>
        <w:spacing w:before="200" w:line-rule="auto"/>
        <w:ind w:firstLine="540"/>
        <w:jc w:val="both"/>
      </w:pPr>
      <w:r>
        <w:rPr>
          <w:sz w:val="20"/>
        </w:rPr>
        <w:t xml:space="preserve">В случае недостаточности лимитов бюджетных обязательств на финансирование очередного проекта в сфере социального предпринимательства в соответствии с рейтингом участников отбора в полном объеме и при отсутствии оснований для отказа, предусмотренных </w:t>
      </w:r>
      <w:hyperlink w:history="0" w:anchor="P418" w:tooltip="3.6. Основаниями для отказа в предоставлении гранта являются:">
        <w:r>
          <w:rPr>
            <w:sz w:val="20"/>
            <w:color w:val="0000ff"/>
          </w:rPr>
          <w:t xml:space="preserve">пунктом 3.6</w:t>
        </w:r>
      </w:hyperlink>
      <w:r>
        <w:rPr>
          <w:sz w:val="20"/>
        </w:rPr>
        <w:t xml:space="preserve"> настоящего Порядка, Уполномоченный орган в течение трех рабочих дней со дня, следующего за днем получения Протокола, принимает решение о предложении гранта в пределах остатка лимитов бюджетных обязательств, предусмотренных на эти цели в областном бюджете на текущий финансовый год (но не более указанной суммы в заявочных документах и одобренной по итогам заседания Комиссии, а также при условии соблюдения </w:t>
      </w:r>
      <w:hyperlink w:history="0" w:anchor="P462" w:tooltip="3.7.4. Размер гранта определяется исходя из запрашиваемой суммы согласно плану расходования средств, представляемому в составе проекта в сфере социального предпринимательства (приложение N 2 к настоящему Порядку) или проекта в сфере предпринимательской деятельности (приложение N 3 к настоящему Порядку), с учетом собственных средств заявителя, но не более максимального размера гранта и не менее минимального размера гранта.">
        <w:r>
          <w:rPr>
            <w:sz w:val="20"/>
            <w:color w:val="0000ff"/>
          </w:rPr>
          <w:t xml:space="preserve">пункта 3.7.4</w:t>
        </w:r>
      </w:hyperlink>
      <w:r>
        <w:rPr>
          <w:sz w:val="20"/>
        </w:rPr>
        <w:t xml:space="preserve"> настоящего Порядка) всем участникам, проекты которых заняли места в рейтинге ниже проекта, по которому принимается решение о предложении гранта в полном объеме, при наличии такового (при отсутствии такового - всем включенным в рейтинг участникам отбора).</w:t>
      </w:r>
    </w:p>
    <w:p>
      <w:pPr>
        <w:pStyle w:val="0"/>
        <w:jc w:val="both"/>
      </w:pPr>
      <w:r>
        <w:rPr>
          <w:sz w:val="20"/>
        </w:rPr>
        <w:t xml:space="preserve">(в ред. постановлений Правительства Тюменской области от 20.06.2022 </w:t>
      </w:r>
      <w:hyperlink w:history="0" r:id="rId142"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14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Решение о предоставлении гранта или об отказе в предоставлении гранта с указанием причин отказа и (или) предложения гранта в пределах остатка лимитов бюджетных обязательств оформляется приказом, который подписывается директором Уполномоченного органа либо лицом, его замещающим (далее - Приказ).</w:t>
      </w:r>
    </w:p>
    <w:bookmarkStart w:id="405" w:name="P405"/>
    <w:bookmarkEnd w:id="405"/>
    <w:p>
      <w:pPr>
        <w:pStyle w:val="0"/>
        <w:spacing w:before="200" w:line-rule="auto"/>
        <w:ind w:firstLine="540"/>
        <w:jc w:val="both"/>
      </w:pPr>
      <w:r>
        <w:rPr>
          <w:sz w:val="20"/>
        </w:rPr>
        <w:t xml:space="preserve">Уполномоченный орган в течение двух рабочих дней со дня, следующего за днем истечения срока на представление в Уполномоченный орган участниками отбора, получившими предложение от Уполномоченного органа получить грант в пределах остатка лимитов бюджетных обязательств, предусмотренных на эти цели в областном бюджете на текущий финансовый год, согласия на получение гранта принимает дополнительное решение о предоставлении гранта участникам отбора, на финансирование проектов которых в полном объеме недостаточно средств в пределах лимитов бюджетных обязательств (далее - Дополнительное решение).</w:t>
      </w:r>
    </w:p>
    <w:p>
      <w:pPr>
        <w:pStyle w:val="0"/>
        <w:spacing w:before="200" w:line-rule="auto"/>
        <w:ind w:firstLine="540"/>
        <w:jc w:val="both"/>
      </w:pPr>
      <w:r>
        <w:rPr>
          <w:sz w:val="20"/>
        </w:rPr>
        <w:t xml:space="preserve">Дополнительное решение Уполномоченного органа оформляется приказом, который подписывается директором Уполномоченного органа либо лицом, его замещающим.</w:t>
      </w:r>
    </w:p>
    <w:p>
      <w:pPr>
        <w:pStyle w:val="0"/>
        <w:spacing w:before="200" w:line-rule="auto"/>
        <w:ind w:firstLine="540"/>
        <w:jc w:val="both"/>
      </w:pPr>
      <w:r>
        <w:rPr>
          <w:sz w:val="20"/>
        </w:rPr>
        <w:t xml:space="preserve">3.2. Уполномоченный орган в течение двух рабочих дней со дня подписания Приказа, Дополнительного решения уведомляет участников отбора о принятом решении одним из способов, указанных участником отбора в заявке:</w:t>
      </w:r>
    </w:p>
    <w:p>
      <w:pPr>
        <w:pStyle w:val="0"/>
        <w:jc w:val="both"/>
      </w:pPr>
      <w:r>
        <w:rPr>
          <w:sz w:val="20"/>
        </w:rPr>
        <w:t xml:space="preserve">(в ред. </w:t>
      </w:r>
      <w:hyperlink w:history="0" r:id="rId14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3.2.1. Направляет уведомление заказным письмом на адрес субъекта предпринимательства, указанный в заявке;</w:t>
      </w:r>
    </w:p>
    <w:p>
      <w:pPr>
        <w:pStyle w:val="0"/>
        <w:spacing w:before="200" w:line-rule="auto"/>
        <w:ind w:firstLine="540"/>
        <w:jc w:val="both"/>
      </w:pPr>
      <w:r>
        <w:rPr>
          <w:sz w:val="20"/>
        </w:rPr>
        <w:t xml:space="preserve">3.2.2. Направляет уведомление на адрес электронной почты (при наличии в заявке информации об электронном адресе участника отбора);</w:t>
      </w:r>
    </w:p>
    <w:p>
      <w:pPr>
        <w:pStyle w:val="0"/>
        <w:spacing w:before="200" w:line-rule="auto"/>
        <w:ind w:firstLine="540"/>
        <w:jc w:val="both"/>
      </w:pPr>
      <w:r>
        <w:rPr>
          <w:sz w:val="20"/>
        </w:rPr>
        <w:t xml:space="preserve">3.2.3. Вручает лично субъекту предпринимательства под расписку с указанием даты получения данного уведомления.</w:t>
      </w:r>
    </w:p>
    <w:p>
      <w:pPr>
        <w:pStyle w:val="0"/>
        <w:spacing w:before="200" w:line-rule="auto"/>
        <w:ind w:firstLine="540"/>
        <w:jc w:val="both"/>
      </w:pPr>
      <w:r>
        <w:rPr>
          <w:sz w:val="20"/>
        </w:rPr>
        <w:t xml:space="preserve">В уведомлении об отказе в предоставлении гранта указываются мотивированные основания отказа.</w:t>
      </w:r>
    </w:p>
    <w:p>
      <w:pPr>
        <w:pStyle w:val="0"/>
        <w:spacing w:before="200" w:line-rule="auto"/>
        <w:ind w:firstLine="540"/>
        <w:jc w:val="both"/>
      </w:pPr>
      <w:r>
        <w:rPr>
          <w:sz w:val="20"/>
        </w:rPr>
        <w:t xml:space="preserve">3.3 - 3.3.1. Исключены. - </w:t>
      </w:r>
      <w:hyperlink w:history="0" r:id="rId14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w:t>
        </w:r>
      </w:hyperlink>
      <w:r>
        <w:rPr>
          <w:sz w:val="20"/>
        </w:rPr>
        <w:t xml:space="preserve"> Правительства Тюменской области от 09.10.2023 N 653-п.</w:t>
      </w:r>
    </w:p>
    <w:p>
      <w:pPr>
        <w:pStyle w:val="0"/>
        <w:spacing w:before="200" w:line-rule="auto"/>
        <w:ind w:firstLine="540"/>
        <w:jc w:val="both"/>
      </w:pPr>
      <w:hyperlink w:history="0" r:id="rId14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3.3</w:t>
        </w:r>
      </w:hyperlink>
      <w:r>
        <w:rPr>
          <w:sz w:val="20"/>
        </w:rPr>
        <w:t xml:space="preserve">. В течение 5 рабочих дней со дня, следующего за днем размещения информации о результатах рассмотрения заявочных документов участники отбора, запрашиваемая сумма гранта в заявочных документах которых превышает размер остатка лимитов бюджетных обязательств, вправе представить в Уполномоченный орган в письменном виде согласие на получение гранта в пределах остатка лимитов бюджетных обязательств, предусмотренных на эти цели в областном бюджете на текущий финансовый год (если согласие не представлено, считается, что участник отбора отказался от получения гранта).</w:t>
      </w:r>
    </w:p>
    <w:p>
      <w:pPr>
        <w:pStyle w:val="0"/>
        <w:spacing w:before="200" w:line-rule="auto"/>
        <w:ind w:firstLine="540"/>
        <w:jc w:val="both"/>
      </w:pPr>
      <w:r>
        <w:rPr>
          <w:sz w:val="20"/>
        </w:rPr>
        <w:t xml:space="preserve">Если запрашиваемая сумма гранта не превышает остатка лимитов бюджетных обязательств, предусмотренных на эти цели в областном бюджете на текущий финансовый год, предоставление согласия не требуется и считается, что участник отбора согласен на получение гранта.</w:t>
      </w:r>
    </w:p>
    <w:p>
      <w:pPr>
        <w:pStyle w:val="0"/>
        <w:spacing w:before="200" w:line-rule="auto"/>
        <w:ind w:firstLine="540"/>
        <w:jc w:val="both"/>
      </w:pPr>
      <w:hyperlink w:history="0" r:id="rId14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3.4</w:t>
        </w:r>
      </w:hyperlink>
      <w:r>
        <w:rPr>
          <w:sz w:val="20"/>
        </w:rPr>
        <w:t xml:space="preserve">. Получатель гранта на этапе подачи заявочных документов, предоставляет документы, установленные </w:t>
      </w:r>
      <w:hyperlink w:history="0" w:anchor="P179" w:tooltip="2.7. Перечень документов, предоставляемых участником отбора в Фонд (далее - заявочные документы).">
        <w:r>
          <w:rPr>
            <w:sz w:val="20"/>
            <w:color w:val="0000ff"/>
          </w:rPr>
          <w:t xml:space="preserve">пунктом 2.7</w:t>
        </w:r>
      </w:hyperlink>
      <w:r>
        <w:rPr>
          <w:sz w:val="20"/>
        </w:rPr>
        <w:t xml:space="preserve"> настоящего Порядка.</w:t>
      </w:r>
    </w:p>
    <w:p>
      <w:pPr>
        <w:pStyle w:val="0"/>
        <w:spacing w:before="200" w:line-rule="auto"/>
        <w:ind w:firstLine="540"/>
        <w:jc w:val="both"/>
      </w:pPr>
      <w:hyperlink w:history="0" r:id="rId14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3.5</w:t>
        </w:r>
      </w:hyperlink>
      <w:r>
        <w:rPr>
          <w:sz w:val="20"/>
        </w:rPr>
        <w:t xml:space="preserve">. Заявочные документы субъекта МСП рассматриваются согласно </w:t>
      </w:r>
      <w:hyperlink w:history="0" w:anchor="P93" w:tooltip="II. Порядок проведения отбора получателей грантов">
        <w:r>
          <w:rPr>
            <w:sz w:val="20"/>
            <w:color w:val="0000ff"/>
          </w:rPr>
          <w:t xml:space="preserve">разделу второму</w:t>
        </w:r>
      </w:hyperlink>
      <w:r>
        <w:rPr>
          <w:sz w:val="20"/>
        </w:rPr>
        <w:t xml:space="preserve"> настоящего Порядка.</w:t>
      </w:r>
    </w:p>
    <w:bookmarkStart w:id="418" w:name="P418"/>
    <w:bookmarkEnd w:id="418"/>
    <w:p>
      <w:pPr>
        <w:pStyle w:val="0"/>
        <w:spacing w:before="200" w:line-rule="auto"/>
        <w:ind w:firstLine="540"/>
        <w:jc w:val="both"/>
      </w:pPr>
      <w:hyperlink w:history="0" r:id="rId14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3.6</w:t>
        </w:r>
      </w:hyperlink>
      <w:r>
        <w:rPr>
          <w:sz w:val="20"/>
        </w:rPr>
        <w:t xml:space="preserve">. Основаниями для отказа в предоставлении гранта являются:</w:t>
      </w:r>
    </w:p>
    <w:p>
      <w:pPr>
        <w:pStyle w:val="0"/>
        <w:spacing w:before="200" w:line-rule="auto"/>
        <w:ind w:firstLine="540"/>
        <w:jc w:val="both"/>
      </w:pPr>
      <w:hyperlink w:history="0" r:id="rId15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3.6.1</w:t>
        </w:r>
      </w:hyperlink>
      <w:r>
        <w:rPr>
          <w:sz w:val="20"/>
        </w:rPr>
        <w:t xml:space="preserve">. Несоответствие представленных получателем гранта документов требованиям, определенным в соответствии с </w:t>
      </w:r>
      <w:hyperlink w:history="0" w:anchor="P180" w:tooltip="2.7.1. Обязательными для предоставления в Фонд документами являются:">
        <w:r>
          <w:rPr>
            <w:sz w:val="20"/>
            <w:color w:val="0000ff"/>
          </w:rPr>
          <w:t xml:space="preserve">пунктами 2.7.1</w:t>
        </w:r>
      </w:hyperlink>
      <w:r>
        <w:rPr>
          <w:sz w:val="20"/>
        </w:rPr>
        <w:t xml:space="preserve">, </w:t>
      </w:r>
      <w:hyperlink w:history="0" w:anchor="P198" w:tooltip="2.7.3. Для получения гранта социальным предприятиям на реализацию проекта в сфере социального предпринимательства участник отбора предоставляет в Фонд в дополнение к документам, предусмотренным пунктом 2.7.1 настоящего Порядка, следующие документы:">
        <w:r>
          <w:rPr>
            <w:sz w:val="20"/>
            <w:color w:val="0000ff"/>
          </w:rPr>
          <w:t xml:space="preserve">2.7.3</w:t>
        </w:r>
      </w:hyperlink>
      <w:r>
        <w:rPr>
          <w:sz w:val="20"/>
        </w:rPr>
        <w:t xml:space="preserve">, </w:t>
      </w:r>
      <w:hyperlink w:history="0" w:anchor="P205" w:tooltip="2.7.4. Для получения гранта молодым предпринимателем на реализацию проекта в сфере предпринимательской деятельности участник отбора предоставляет в Фонд в дополнение к документам, предусмотренным пунктом 2.7.1 настоящего Порядка, следующие документы:">
        <w:r>
          <w:rPr>
            <w:sz w:val="20"/>
            <w:color w:val="0000ff"/>
          </w:rPr>
          <w:t xml:space="preserve">2.7.4</w:t>
        </w:r>
      </w:hyperlink>
      <w:r>
        <w:rPr>
          <w:sz w:val="20"/>
        </w:rPr>
        <w:t xml:space="preserve"> настоящего Порядка, или непредставление (представление не в полном объеме) указанных документов;</w:t>
      </w:r>
    </w:p>
    <w:p>
      <w:pPr>
        <w:pStyle w:val="0"/>
        <w:jc w:val="both"/>
      </w:pPr>
      <w:r>
        <w:rPr>
          <w:sz w:val="20"/>
        </w:rPr>
        <w:t xml:space="preserve">(в ред. </w:t>
      </w:r>
      <w:hyperlink w:history="0" r:id="rId151"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hyperlink w:history="0" r:id="rId15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3.6.2</w:t>
        </w:r>
      </w:hyperlink>
      <w:r>
        <w:rPr>
          <w:sz w:val="20"/>
        </w:rPr>
        <w:t xml:space="preserve">. Установление факта недостоверности, представленной получателем гранта информации;</w:t>
      </w:r>
    </w:p>
    <w:p>
      <w:pPr>
        <w:pStyle w:val="0"/>
        <w:spacing w:before="200" w:line-rule="auto"/>
        <w:ind w:firstLine="540"/>
        <w:jc w:val="both"/>
      </w:pPr>
      <w:hyperlink w:history="0" r:id="rId15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3.6.3</w:t>
        </w:r>
      </w:hyperlink>
      <w:r>
        <w:rPr>
          <w:sz w:val="20"/>
        </w:rPr>
        <w:t xml:space="preserve">. Отсутствие лимитов бюджетных обязательств на соответствующие мероприятия государственной </w:t>
      </w:r>
      <w:hyperlink w:history="0" r:id="rId154" w:tooltip="Постановление Правительства Тюменской области от 14.12.2018 N 511-п (ред. от 22.12.2023) &quot;Об утверждении государственной программы Тюменской области &quot;Развитие малого и среднего предпринимательства и научно-инновационной сферы&quot; и признании утратившими силу некоторых нормативных правовых актов&quot; (с изм. и доп., вступающими в силу с 01.01.2024) {КонсультантПлюс}">
        <w:r>
          <w:rPr>
            <w:sz w:val="20"/>
            <w:color w:val="0000ff"/>
          </w:rPr>
          <w:t xml:space="preserve">программы</w:t>
        </w:r>
      </w:hyperlink>
      <w:r>
        <w:rPr>
          <w:sz w:val="20"/>
        </w:rPr>
        <w:t xml:space="preserve"> Тюменской области "Развитие малого и среднего предпринимательства и научно-инновационной сферы".</w:t>
      </w:r>
    </w:p>
    <w:p>
      <w:pPr>
        <w:pStyle w:val="0"/>
        <w:jc w:val="both"/>
      </w:pPr>
      <w:r>
        <w:rPr>
          <w:sz w:val="20"/>
        </w:rPr>
        <w:t xml:space="preserve">(в ред. </w:t>
      </w:r>
      <w:hyperlink w:history="0" r:id="rId155" w:tooltip="Постановление Правительства Тюменской области от 04.03.2022 N 107-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04.03.2022 N 107-п)</w:t>
      </w:r>
    </w:p>
    <w:p>
      <w:pPr>
        <w:pStyle w:val="0"/>
        <w:spacing w:before="200" w:line-rule="auto"/>
        <w:ind w:firstLine="540"/>
        <w:jc w:val="both"/>
      </w:pPr>
      <w:hyperlink w:history="0" r:id="rId15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3.6.4</w:t>
        </w:r>
      </w:hyperlink>
      <w:r>
        <w:rPr>
          <w:sz w:val="20"/>
        </w:rPr>
        <w:t xml:space="preserve">. Участник отбора не набрал по итогам заседания Комиссии минимальный балл, установленный </w:t>
      </w:r>
      <w:hyperlink w:history="0" w:anchor="P374" w:tooltip="2.17. Гранты предоставляются участникам отбора, набравшим не менее 7 баллов.">
        <w:r>
          <w:rPr>
            <w:sz w:val="20"/>
            <w:color w:val="0000ff"/>
          </w:rPr>
          <w:t xml:space="preserve">пунктом 2.17</w:t>
        </w:r>
      </w:hyperlink>
      <w:r>
        <w:rPr>
          <w:sz w:val="20"/>
        </w:rPr>
        <w:t xml:space="preserve"> настоящего Порядка.</w:t>
      </w:r>
    </w:p>
    <w:bookmarkStart w:id="425" w:name="P425"/>
    <w:bookmarkEnd w:id="425"/>
    <w:p>
      <w:pPr>
        <w:pStyle w:val="0"/>
        <w:spacing w:before="200" w:line-rule="auto"/>
        <w:ind w:firstLine="540"/>
        <w:jc w:val="both"/>
      </w:pPr>
      <w:hyperlink w:history="0" r:id="rId15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w:t>
        </w:r>
      </w:hyperlink>
      <w:r>
        <w:rPr>
          <w:sz w:val="20"/>
        </w:rPr>
        <w:t xml:space="preserve">. Грант предоставляется субъекту МСП в следующих размерах при соблюдении условий, определенных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пунктами 3.7.1</w:t>
        </w:r>
      </w:hyperlink>
      <w:r>
        <w:rPr>
          <w:sz w:val="20"/>
        </w:rPr>
        <w:t xml:space="preserve"> - </w:t>
      </w:r>
      <w:hyperlink w:history="0" w:anchor="P462" w:tooltip="3.7.4. Размер гранта определяется исходя из запрашиваемой суммы согласно плану расходования средств, представляемому в составе проекта в сфере социального предпринимательства (приложение N 2 к настоящему Порядку) или проекта в сфере предпринимательской деятельности (приложение N 3 к настоящему Порядку), с учетом собственных средств заявителя, но не более максимального размера гранта и не менее минимального размера гранта.">
        <w:r>
          <w:rPr>
            <w:sz w:val="20"/>
            <w:color w:val="0000ff"/>
          </w:rPr>
          <w:t xml:space="preserve">3.7.4</w:t>
        </w:r>
      </w:hyperlink>
      <w:r>
        <w:rPr>
          <w:sz w:val="20"/>
        </w:rPr>
        <w:t xml:space="preserve"> настоящего Порядка.</w:t>
      </w:r>
    </w:p>
    <w:p>
      <w:pPr>
        <w:pStyle w:val="0"/>
        <w:jc w:val="both"/>
      </w:pPr>
      <w:r>
        <w:rPr>
          <w:sz w:val="20"/>
        </w:rPr>
        <w:t xml:space="preserve">(в ред. </w:t>
      </w:r>
      <w:hyperlink w:history="0" r:id="rId15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427" w:name="P427"/>
    <w:bookmarkEnd w:id="427"/>
    <w:p>
      <w:pPr>
        <w:pStyle w:val="0"/>
        <w:spacing w:before="200" w:line-rule="auto"/>
        <w:ind w:firstLine="540"/>
        <w:jc w:val="both"/>
      </w:pPr>
      <w:hyperlink w:history="0" r:id="rId15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3.7.1</w:t>
        </w:r>
      </w:hyperlink>
      <w:r>
        <w:rPr>
          <w:sz w:val="20"/>
        </w:rPr>
        <w:t xml:space="preserve">.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w:t>
      </w:r>
    </w:p>
    <w:p>
      <w:pPr>
        <w:pStyle w:val="0"/>
        <w:jc w:val="both"/>
      </w:pPr>
      <w:r>
        <w:rPr>
          <w:sz w:val="20"/>
        </w:rPr>
        <w:t xml:space="preserve">(в ред. постановлений Правительства Тюменской области от 20.06.2022 </w:t>
      </w:r>
      <w:hyperlink w:history="0" r:id="rId16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16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 аренда нежилого помещения;</w:t>
      </w:r>
    </w:p>
    <w:p>
      <w:pPr>
        <w:pStyle w:val="0"/>
        <w:jc w:val="both"/>
      </w:pPr>
      <w:r>
        <w:rPr>
          <w:sz w:val="20"/>
        </w:rPr>
        <w:t xml:space="preserve">(в ред. </w:t>
      </w:r>
      <w:hyperlink w:history="0" r:id="rId162"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ремонт нежилого помещения, включая приобретение строительных материалов, оборудования, необходимого для ремонта помещения;</w:t>
      </w:r>
    </w:p>
    <w:p>
      <w:pPr>
        <w:pStyle w:val="0"/>
        <w:jc w:val="both"/>
      </w:pPr>
      <w:r>
        <w:rPr>
          <w:sz w:val="20"/>
        </w:rPr>
        <w:t xml:space="preserve">(в ред. </w:t>
      </w:r>
      <w:hyperlink w:history="0" r:id="rId16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аренда и (или) приобретение оргтехники, оборудования (в том числе инвентаря, мебели);</w:t>
      </w:r>
    </w:p>
    <w:p>
      <w:pPr>
        <w:pStyle w:val="0"/>
        <w:jc w:val="both"/>
      </w:pPr>
      <w:r>
        <w:rPr>
          <w:sz w:val="20"/>
        </w:rPr>
        <w:t xml:space="preserve">(в ред. </w:t>
      </w:r>
      <w:hyperlink w:history="0" r:id="rId16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выплата по передаче прав на франшизу (паушальный платеж);</w:t>
      </w:r>
    </w:p>
    <w:p>
      <w:pPr>
        <w:pStyle w:val="0"/>
        <w:spacing w:before="200" w:line-rule="auto"/>
        <w:ind w:firstLine="540"/>
        <w:jc w:val="both"/>
      </w:pPr>
      <w:r>
        <w:rPr>
          <w:sz w:val="20"/>
        </w:rPr>
        <w:t xml:space="preserve">-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spacing w:before="200" w:line-rule="auto"/>
        <w:ind w:firstLine="540"/>
        <w:jc w:val="both"/>
      </w:pPr>
      <w:r>
        <w:rPr>
          <w:sz w:val="20"/>
        </w:rPr>
        <w:t xml:space="preserve">- оплата коммунальных услуг и услуг электроснабжения;</w:t>
      </w:r>
    </w:p>
    <w:p>
      <w:pPr>
        <w:pStyle w:val="0"/>
        <w:spacing w:before="200" w:line-rule="auto"/>
        <w:ind w:firstLine="540"/>
        <w:jc w:val="both"/>
      </w:pPr>
      <w:r>
        <w:rPr>
          <w:sz w:val="20"/>
        </w:rPr>
        <w:t xml:space="preserve">- оформление результатов интеллектуальной деятельности;</w:t>
      </w:r>
    </w:p>
    <w:p>
      <w:pPr>
        <w:pStyle w:val="0"/>
        <w:spacing w:before="200" w:line-rule="auto"/>
        <w:ind w:firstLine="540"/>
        <w:jc w:val="both"/>
      </w:pPr>
      <w:r>
        <w:rPr>
          <w:sz w:val="20"/>
        </w:rPr>
        <w:t xml:space="preserve">- приобретение основных средств (за исключением приобретения зданий, сооружений, земельных участков, автомобилей);</w:t>
      </w:r>
    </w:p>
    <w:p>
      <w:pPr>
        <w:pStyle w:val="0"/>
        <w:jc w:val="both"/>
      </w:pPr>
      <w:r>
        <w:rPr>
          <w:sz w:val="20"/>
        </w:rPr>
        <w:t xml:space="preserve">(в ред. </w:t>
      </w:r>
      <w:hyperlink w:history="0" r:id="rId165"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переоборудование транспортных средств для перевозки маломобильных групп населения, в том числе инвалидов;</w:t>
      </w:r>
    </w:p>
    <w:p>
      <w:pPr>
        <w:pStyle w:val="0"/>
        <w:spacing w:before="200" w:line-rule="auto"/>
        <w:ind w:firstLine="540"/>
        <w:jc w:val="both"/>
      </w:pPr>
      <w:r>
        <w:rPr>
          <w:sz w:val="20"/>
        </w:rPr>
        <w:t xml:space="preserve">- оплата услуг связи, в том числе информационно-телекоммуникационной сети "Интернет";</w:t>
      </w:r>
    </w:p>
    <w:p>
      <w:pPr>
        <w:pStyle w:val="0"/>
        <w:jc w:val="both"/>
      </w:pPr>
      <w:r>
        <w:rPr>
          <w:sz w:val="20"/>
        </w:rPr>
        <w:t xml:space="preserve">(в ред. </w:t>
      </w:r>
      <w:hyperlink w:history="0" r:id="rId16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pPr>
        <w:pStyle w:val="0"/>
        <w:jc w:val="both"/>
      </w:pPr>
      <w:r>
        <w:rPr>
          <w:sz w:val="20"/>
        </w:rPr>
        <w:t xml:space="preserve">(в ред. постановлений Правительства Тюменской области от 20.06.2022 </w:t>
      </w:r>
      <w:hyperlink w:history="0" r:id="rId16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16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pPr>
        <w:pStyle w:val="0"/>
        <w:spacing w:before="200" w:line-rule="auto"/>
        <w:ind w:firstLine="540"/>
        <w:jc w:val="both"/>
      </w:pPr>
      <w:r>
        <w:rPr>
          <w:sz w:val="20"/>
        </w:rPr>
        <w:t xml:space="preserve">- приобретение сырья, расходных материалов, необходимых для производства продукции и оказания услуг;</w:t>
      </w:r>
    </w:p>
    <w:p>
      <w:pPr>
        <w:pStyle w:val="0"/>
        <w:jc w:val="both"/>
      </w:pPr>
      <w:r>
        <w:rPr>
          <w:sz w:val="20"/>
        </w:rPr>
        <w:t xml:space="preserve">(в ред. </w:t>
      </w:r>
      <w:hyperlink w:history="0" r:id="rId16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абзац исключен. - </w:t>
      </w:r>
      <w:hyperlink w:history="0" r:id="rId17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pPr>
        <w:pStyle w:val="0"/>
        <w:jc w:val="both"/>
      </w:pPr>
      <w:r>
        <w:rPr>
          <w:sz w:val="20"/>
        </w:rPr>
        <w:t xml:space="preserve">(в ред. </w:t>
      </w:r>
      <w:hyperlink w:history="0" r:id="rId17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pPr>
        <w:pStyle w:val="0"/>
        <w:spacing w:before="200" w:line-rule="auto"/>
        <w:ind w:firstLine="540"/>
        <w:jc w:val="both"/>
      </w:pPr>
      <w:r>
        <w:rPr>
          <w:sz w:val="20"/>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pPr>
        <w:pStyle w:val="0"/>
        <w:spacing w:before="200" w:line-rule="auto"/>
        <w:ind w:firstLine="540"/>
        <w:jc w:val="both"/>
      </w:pPr>
      <w:r>
        <w:rPr>
          <w:sz w:val="20"/>
        </w:rPr>
        <w:t xml:space="preserve">Грант может быть предоставлен повторно, но не чаще одного раза в три года со дня заключения соглашения (договора) о предоставлении гранта, в случае достижения результата, установленного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пунктом 3.11</w:t>
        </w:r>
      </w:hyperlink>
      <w:r>
        <w:rPr>
          <w:sz w:val="20"/>
        </w:rPr>
        <w:t xml:space="preserve"> настоящего Порядка, и полного выполнения условий Соглашения.</w:t>
      </w:r>
    </w:p>
    <w:p>
      <w:pPr>
        <w:pStyle w:val="0"/>
        <w:jc w:val="both"/>
      </w:pPr>
      <w:r>
        <w:rPr>
          <w:sz w:val="20"/>
        </w:rPr>
        <w:t xml:space="preserve">(абзац введен </w:t>
      </w:r>
      <w:hyperlink w:history="0" r:id="rId17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bookmarkStart w:id="456" w:name="P456"/>
    <w:bookmarkEnd w:id="456"/>
    <w:p>
      <w:pPr>
        <w:pStyle w:val="0"/>
        <w:spacing w:before="200" w:line-rule="auto"/>
        <w:ind w:firstLine="540"/>
        <w:jc w:val="both"/>
      </w:pPr>
      <w:hyperlink w:history="0" r:id="rId17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3.7.2</w:t>
        </w:r>
      </w:hyperlink>
      <w:r>
        <w:rPr>
          <w:sz w:val="20"/>
        </w:rPr>
        <w:t xml:space="preserve">. Дополнительно к расходам, указанным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пункте 3.7.1</w:t>
        </w:r>
      </w:hyperlink>
      <w:r>
        <w:rPr>
          <w:sz w:val="20"/>
        </w:rPr>
        <w:t xml:space="preserve">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jc w:val="both"/>
      </w:pPr>
      <w:r>
        <w:rPr>
          <w:sz w:val="20"/>
        </w:rPr>
        <w:t xml:space="preserve">(подпункт введен </w:t>
      </w:r>
      <w:hyperlink w:history="0" r:id="rId17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 в ред. </w:t>
      </w:r>
      <w:hyperlink w:history="0" r:id="rId17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458" w:name="P458"/>
    <w:bookmarkEnd w:id="458"/>
    <w:p>
      <w:pPr>
        <w:pStyle w:val="0"/>
        <w:spacing w:before="200" w:line-rule="auto"/>
        <w:ind w:firstLine="540"/>
        <w:jc w:val="both"/>
      </w:pPr>
      <w:hyperlink w:history="0" r:id="rId17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3.7.3</w:t>
        </w:r>
      </w:hyperlink>
      <w:r>
        <w:rPr>
          <w:sz w:val="20"/>
        </w:rPr>
        <w:t xml:space="preserve">. Грант предоставляется при условии наличия у получателя гранта собственных и (или) заемных средств для софинансирования расходов, связанных с реализацией проекта в сфере социального предпринимательства, или проекта в сфере предпринимательской деятельности в размере не менее 25% от размера расходов, предусмотренных на реализацию проекта в соответствии с планом расходования средств, представляемым в составе </w:t>
      </w:r>
      <w:hyperlink w:history="0" w:anchor="P818" w:tooltip="ПРОЕКТ">
        <w:r>
          <w:rPr>
            <w:sz w:val="20"/>
            <w:color w:val="0000ff"/>
          </w:rPr>
          <w:t xml:space="preserve">проекта</w:t>
        </w:r>
      </w:hyperlink>
      <w:r>
        <w:rPr>
          <w:sz w:val="20"/>
        </w:rPr>
        <w:t xml:space="preserve"> в сфере социального предпринимательства (приложение N 2 к настоящему Порядку), или </w:t>
      </w:r>
      <w:hyperlink w:history="0" w:anchor="P1108" w:tooltip="ПРОЕКТ">
        <w:r>
          <w:rPr>
            <w:sz w:val="20"/>
            <w:color w:val="0000ff"/>
          </w:rPr>
          <w:t xml:space="preserve">проекта</w:t>
        </w:r>
      </w:hyperlink>
      <w:r>
        <w:rPr>
          <w:sz w:val="20"/>
        </w:rPr>
        <w:t xml:space="preserve"> в сфере предпринимательской деятельности (приложение N 3 к настоящему Порядку).</w:t>
      </w:r>
    </w:p>
    <w:p>
      <w:pPr>
        <w:pStyle w:val="0"/>
        <w:spacing w:before="200" w:line-rule="auto"/>
        <w:ind w:firstLine="540"/>
        <w:jc w:val="both"/>
      </w:pPr>
      <w:r>
        <w:rPr>
          <w:sz w:val="20"/>
        </w:rPr>
        <w:t xml:space="preserve">Указанное в </w:t>
      </w:r>
      <w:hyperlink w:history="0" w:anchor="P458" w:tooltip="3.7.3. Грант предоставляется при условии наличия у получателя гранта собственных и (или) заемных средств для софинансирования расходов, связанных с реализацией проекта в сфере социального предпринимательства, или проекта в сфере предпринимательской деятельности в размере не менее 25% от размера расходов, предусмотренных на реализацию проекта в соответствии с планом расходования средств, представляемым в составе проекта в сфере социального предпринимательства (приложение N 2 к настоящему Порядку), или про...">
        <w:r>
          <w:rPr>
            <w:sz w:val="20"/>
            <w:color w:val="0000ff"/>
          </w:rPr>
          <w:t xml:space="preserve">абзаце первом</w:t>
        </w:r>
      </w:hyperlink>
      <w:r>
        <w:rPr>
          <w:sz w:val="20"/>
        </w:rPr>
        <w:t xml:space="preserve"> настоящего пункта условие проверяется на любую дату в течение периода, равного 30 календарным дням, предшествующего дате подачи документов для получения гранта.</w:t>
      </w:r>
    </w:p>
    <w:p>
      <w:pPr>
        <w:pStyle w:val="0"/>
        <w:jc w:val="both"/>
      </w:pPr>
      <w:r>
        <w:rPr>
          <w:sz w:val="20"/>
        </w:rPr>
        <w:t xml:space="preserve">(абзац введен </w:t>
      </w:r>
      <w:hyperlink w:history="0" r:id="rId17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p>
      <w:pPr>
        <w:pStyle w:val="0"/>
        <w:jc w:val="both"/>
      </w:pPr>
      <w:r>
        <w:rPr>
          <w:sz w:val="20"/>
        </w:rPr>
        <w:t xml:space="preserve">(подпункт в ред. </w:t>
      </w:r>
      <w:hyperlink w:history="0" r:id="rId17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bookmarkStart w:id="462" w:name="P462"/>
    <w:bookmarkEnd w:id="462"/>
    <w:p>
      <w:pPr>
        <w:pStyle w:val="0"/>
        <w:spacing w:before="200" w:line-rule="auto"/>
        <w:ind w:firstLine="540"/>
        <w:jc w:val="both"/>
      </w:pPr>
      <w:hyperlink w:history="0" r:id="rId17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3.7.4</w:t>
        </w:r>
      </w:hyperlink>
      <w:r>
        <w:rPr>
          <w:sz w:val="20"/>
        </w:rPr>
        <w:t xml:space="preserve">. Размер гранта определяется исходя из запрашиваемой суммы согласно плану расходования средств, представляемому в составе </w:t>
      </w:r>
      <w:hyperlink w:history="0" w:anchor="P818" w:tooltip="ПРОЕКТ">
        <w:r>
          <w:rPr>
            <w:sz w:val="20"/>
            <w:color w:val="0000ff"/>
          </w:rPr>
          <w:t xml:space="preserve">проекта</w:t>
        </w:r>
      </w:hyperlink>
      <w:r>
        <w:rPr>
          <w:sz w:val="20"/>
        </w:rPr>
        <w:t xml:space="preserve"> в сфере социального предпринимательства (приложение N 2 к настоящему Порядку) или </w:t>
      </w:r>
      <w:hyperlink w:history="0" w:anchor="P1108" w:tooltip="ПРОЕКТ">
        <w:r>
          <w:rPr>
            <w:sz w:val="20"/>
            <w:color w:val="0000ff"/>
          </w:rPr>
          <w:t xml:space="preserve">проекта</w:t>
        </w:r>
      </w:hyperlink>
      <w:r>
        <w:rPr>
          <w:sz w:val="20"/>
        </w:rPr>
        <w:t xml:space="preserve"> в сфере предпринимательской деятельности (приложение N 3 к настоящему Порядку), с учетом собственных средств заявителя, но не более максимального размера гранта и не менее минимального размера гранта.</w:t>
      </w:r>
    </w:p>
    <w:p>
      <w:pPr>
        <w:pStyle w:val="0"/>
        <w:spacing w:before="200" w:line-rule="auto"/>
        <w:ind w:firstLine="540"/>
        <w:jc w:val="both"/>
      </w:pPr>
      <w:r>
        <w:rPr>
          <w:sz w:val="20"/>
        </w:rPr>
        <w:t xml:space="preserve">Максимальный размер гранта не может превышать 500 тысяч рублей на одного получателя гранта. Минимальный размер гранта не может составлять менее 100 тысяч рублей на одного получателя гранта.</w:t>
      </w:r>
    </w:p>
    <w:p>
      <w:pPr>
        <w:pStyle w:val="0"/>
        <w:jc w:val="both"/>
      </w:pPr>
      <w:r>
        <w:rPr>
          <w:sz w:val="20"/>
        </w:rPr>
        <w:t xml:space="preserve">(абзац введен </w:t>
      </w:r>
      <w:hyperlink w:history="0" r:id="rId180"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20.12.2022 N 964-п)</w:t>
      </w:r>
    </w:p>
    <w:p>
      <w:pPr>
        <w:pStyle w:val="0"/>
        <w:jc w:val="both"/>
      </w:pPr>
      <w:r>
        <w:rPr>
          <w:sz w:val="20"/>
        </w:rPr>
        <w:t xml:space="preserve">(подпункт в ред. </w:t>
      </w:r>
      <w:hyperlink w:history="0" r:id="rId181"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bookmarkStart w:id="466" w:name="P466"/>
    <w:bookmarkEnd w:id="466"/>
    <w:p>
      <w:pPr>
        <w:pStyle w:val="0"/>
        <w:spacing w:before="200" w:line-rule="auto"/>
        <w:ind w:firstLine="540"/>
        <w:jc w:val="both"/>
      </w:pPr>
      <w:hyperlink w:history="0" r:id="rId18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3.7.5</w:t>
        </w:r>
      </w:hyperlink>
      <w:r>
        <w:rPr>
          <w:sz w:val="20"/>
        </w:rPr>
        <w:t xml:space="preserve">. Грант должен быть израсходован в течение года со дня, следующего за днем заключения Соглашения.</w:t>
      </w:r>
    </w:p>
    <w:p>
      <w:pPr>
        <w:pStyle w:val="0"/>
        <w:spacing w:before="200" w:line-rule="auto"/>
        <w:ind w:firstLine="540"/>
        <w:jc w:val="both"/>
      </w:pPr>
      <w:hyperlink w:history="0" r:id="rId18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3.7.6</w:t>
        </w:r>
      </w:hyperlink>
      <w:r>
        <w:rPr>
          <w:sz w:val="20"/>
        </w:rPr>
        <w:t xml:space="preserve">. Имущество (оргтехника; оборудование (в том числе мебель); транспортные средства для перевозки маломобильных групп населения, в том числе инвалидов; оборудование, полученное в рамках договора финансовой аренды (лизинга)), приобретенное за счет средств гранта подлежит эксплуатации в Тюменской области (без автономных округов) в течение одного года, следующего за годом предоставления гранта.</w:t>
      </w:r>
    </w:p>
    <w:p>
      <w:pPr>
        <w:pStyle w:val="0"/>
        <w:spacing w:before="200" w:line-rule="auto"/>
        <w:ind w:firstLine="540"/>
        <w:jc w:val="both"/>
      </w:pPr>
      <w:r>
        <w:rPr>
          <w:sz w:val="20"/>
        </w:rPr>
        <w:t xml:space="preserve">В случае направления средств гранта на аренду или ремонт нежилого помещения, нежилое помещение должно располагаться в Тюменской области (без автономных округов).</w:t>
      </w:r>
    </w:p>
    <w:p>
      <w:pPr>
        <w:pStyle w:val="0"/>
        <w:spacing w:before="200" w:line-rule="auto"/>
        <w:ind w:firstLine="540"/>
        <w:jc w:val="both"/>
      </w:pPr>
      <w:r>
        <w:rPr>
          <w:sz w:val="20"/>
        </w:rPr>
        <w:t xml:space="preserve">Оплата коммунальных услуг и услуг электроснабжения должна осуществляться в отношении нежилого помещения, которое располагается в Тюменской области (без автономных округов).</w:t>
      </w:r>
    </w:p>
    <w:p>
      <w:pPr>
        <w:pStyle w:val="0"/>
        <w:spacing w:before="200" w:line-rule="auto"/>
        <w:ind w:firstLine="540"/>
        <w:jc w:val="both"/>
      </w:pPr>
      <w:r>
        <w:rPr>
          <w:sz w:val="20"/>
        </w:rPr>
        <w:t xml:space="preserve">Грант не предоставляется на технологическое присоединение к жилым объектам недвижимости, а также объектам расположенным не в Тюменской области (без автономных округов).</w:t>
      </w:r>
    </w:p>
    <w:p>
      <w:pPr>
        <w:pStyle w:val="0"/>
        <w:spacing w:before="200" w:line-rule="auto"/>
        <w:ind w:firstLine="540"/>
        <w:jc w:val="both"/>
      </w:pPr>
      <w:hyperlink w:history="0" r:id="rId18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3.7.7</w:t>
        </w:r>
      </w:hyperlink>
      <w:r>
        <w:rPr>
          <w:sz w:val="20"/>
        </w:rPr>
        <w:t xml:space="preserve">. Получатель гранта - социальное предприятие обязуется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w:history="0" r:id="rId185"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N 209-ФЗ.</w:t>
      </w:r>
    </w:p>
    <w:p>
      <w:pPr>
        <w:pStyle w:val="0"/>
        <w:jc w:val="both"/>
      </w:pPr>
      <w:r>
        <w:rPr>
          <w:sz w:val="20"/>
        </w:rPr>
        <w:t xml:space="preserve">(подпункт в ред. </w:t>
      </w:r>
      <w:hyperlink w:history="0" r:id="rId18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bookmarkStart w:id="473" w:name="P473"/>
    <w:bookmarkEnd w:id="473"/>
    <w:p>
      <w:pPr>
        <w:pStyle w:val="0"/>
        <w:spacing w:before="200" w:line-rule="auto"/>
        <w:ind w:firstLine="540"/>
        <w:jc w:val="both"/>
      </w:pPr>
      <w:hyperlink w:history="0" r:id="rId18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3.7.8</w:t>
        </w:r>
      </w:hyperlink>
      <w:r>
        <w:rPr>
          <w:sz w:val="20"/>
        </w:rPr>
        <w:t xml:space="preserve">.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Уполномоченный орган </w:t>
      </w:r>
      <w:hyperlink w:history="0" w:anchor="P2046" w:tooltip="Информация о финансово-экономических показателях">
        <w:r>
          <w:rPr>
            <w:sz w:val="20"/>
            <w:color w:val="0000ff"/>
          </w:rPr>
          <w:t xml:space="preserve">информацию</w:t>
        </w:r>
      </w:hyperlink>
      <w:r>
        <w:rPr>
          <w:sz w:val="20"/>
        </w:rPr>
        <w:t xml:space="preserve"> о финансово-экономических показателях своей деятельности по форме согласно приложению N 7 к настоящему Порядку.</w:t>
      </w:r>
    </w:p>
    <w:p>
      <w:pPr>
        <w:pStyle w:val="0"/>
        <w:jc w:val="both"/>
      </w:pPr>
      <w:r>
        <w:rPr>
          <w:sz w:val="20"/>
        </w:rPr>
        <w:t xml:space="preserve">(подпункт введен </w:t>
      </w:r>
      <w:hyperlink w:history="0" r:id="rId18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bookmarkStart w:id="475" w:name="P475"/>
    <w:bookmarkEnd w:id="475"/>
    <w:p>
      <w:pPr>
        <w:pStyle w:val="0"/>
        <w:spacing w:before="200" w:line-rule="auto"/>
        <w:ind w:firstLine="540"/>
        <w:jc w:val="both"/>
      </w:pPr>
      <w:hyperlink w:history="0" r:id="rId18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3.8</w:t>
        </w:r>
      </w:hyperlink>
      <w:r>
        <w:rPr>
          <w:sz w:val="20"/>
        </w:rPr>
        <w:t xml:space="preserve">. В течение 5 рабочих дней со дня, следующего за днем подписания Приказа (Дополнительного решения) директором Уполномоченного органа или лицом, его замещающим, Уполномоченный орган заключает с получателем гранта Соглашение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Изменения в Соглашение оформляются в виде дополнительных соглашений по типовой форме, установленной Министерством финансов Российской Федерации.</w:t>
      </w:r>
    </w:p>
    <w:p>
      <w:pPr>
        <w:pStyle w:val="0"/>
        <w:spacing w:before="200" w:line-rule="auto"/>
        <w:ind w:firstLine="540"/>
        <w:jc w:val="both"/>
      </w:pPr>
      <w:r>
        <w:rPr>
          <w:sz w:val="20"/>
        </w:rPr>
        <w:t xml:space="preserve">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w:t>
      </w:r>
    </w:p>
    <w:p>
      <w:pPr>
        <w:pStyle w:val="0"/>
        <w:spacing w:before="200" w:line-rule="auto"/>
        <w:ind w:firstLine="540"/>
        <w:jc w:val="both"/>
      </w:pPr>
      <w:r>
        <w:rPr>
          <w:sz w:val="20"/>
        </w:rPr>
        <w:t xml:space="preserve">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с соблюдением требований о защите государственной тайны заключается в системе "Электронный бюджет".</w:t>
      </w:r>
    </w:p>
    <w:p>
      <w:pPr>
        <w:pStyle w:val="0"/>
        <w:jc w:val="both"/>
      </w:pPr>
      <w:r>
        <w:rPr>
          <w:sz w:val="20"/>
        </w:rPr>
        <w:t xml:space="preserve">(в ред. </w:t>
      </w:r>
      <w:hyperlink w:history="0" r:id="rId190"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 (ред. 09.10.2023))</w:t>
      </w:r>
    </w:p>
    <w:bookmarkStart w:id="480" w:name="P480"/>
    <w:bookmarkEnd w:id="480"/>
    <w:p>
      <w:pPr>
        <w:pStyle w:val="0"/>
        <w:spacing w:before="200" w:line-rule="auto"/>
        <w:ind w:firstLine="540"/>
        <w:jc w:val="both"/>
      </w:pPr>
      <w:r>
        <w:rPr>
          <w:sz w:val="20"/>
        </w:rPr>
        <w:t xml:space="preserve">Обязательными условиями Соглашения являются:</w:t>
      </w:r>
    </w:p>
    <w:p>
      <w:pPr>
        <w:pStyle w:val="0"/>
        <w:spacing w:before="200" w:line-rule="auto"/>
        <w:ind w:firstLine="540"/>
        <w:jc w:val="both"/>
      </w:pPr>
      <w:r>
        <w:rPr>
          <w:sz w:val="20"/>
        </w:rPr>
        <w:t xml:space="preserve">- согласие получателя гранта, лиц, получающих средства на основании договоров, заключенных с получателям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 получающих средства на основании договоров, заключенных с получателем гранта), на осуществление в отношении их проверки Уполномоченным органом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условий и порядка предоставления гранта в соответствии со </w:t>
      </w:r>
      <w:hyperlink w:history="0" r:id="rId19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19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Тюменской области от 20.06.2022 </w:t>
      </w:r>
      <w:hyperlink w:history="0" r:id="rId19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19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 обязательство получателя гранта включать в договоры (соглашения), заключенные в целях исполнения обязательств по Соглашению,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Уполномоченным органом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условий и порядка предоставления гранта в соответствии со </w:t>
      </w:r>
      <w:hyperlink w:history="0" r:id="rId195"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196"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Тюменской области от 20.06.2022 </w:t>
      </w:r>
      <w:hyperlink w:history="0" r:id="rId19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19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bookmarkStart w:id="485" w:name="P485"/>
    <w:bookmarkEnd w:id="485"/>
    <w:p>
      <w:pPr>
        <w:pStyle w:val="0"/>
        <w:spacing w:before="200" w:line-rule="auto"/>
        <w:ind w:firstLine="540"/>
        <w:jc w:val="both"/>
      </w:pPr>
      <w:r>
        <w:rPr>
          <w:sz w:val="20"/>
        </w:rPr>
        <w:t xml:space="preserve">-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19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53" w:tooltip="1.2. Гранты предоставляются Департаментом инвестиционной политики и государственной поддержки предпринимательства Тюменской области (далее - Уполномоченный орган),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
        <w:r>
          <w:rPr>
            <w:sz w:val="20"/>
            <w:color w:val="0000ff"/>
          </w:rPr>
          <w:t xml:space="preserve">пункте 1.2</w:t>
        </w:r>
      </w:hyperlink>
      <w:r>
        <w:rPr>
          <w:sz w:val="20"/>
        </w:rPr>
        <w:t xml:space="preserve"> настоящего Порядка,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 условие об осуществлении расходования средств гранта и средств софинансирования с отдельного расчетного счета, открытого (имеющегося) для этих целей получателем гранта в учреждениях Центрального банка Российской Федерации или российских кредитных организациях Центрального банка Российской Федерации. Недопущение расчетов, не связанных с расходованием средств на реализацию проекта в сфере социального предпринимательства или проекта в сфере предпринимательской деятельности, с указанного расчетного счета;</w:t>
      </w:r>
    </w:p>
    <w:p>
      <w:pPr>
        <w:pStyle w:val="0"/>
        <w:jc w:val="both"/>
      </w:pPr>
      <w:r>
        <w:rPr>
          <w:sz w:val="20"/>
        </w:rPr>
        <w:t xml:space="preserve">(в ред. </w:t>
      </w:r>
      <w:hyperlink w:history="0" r:id="rId20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обязательство получателя гранта - социального предприятия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w:history="0" r:id="rId201"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w:t>
      </w:r>
    </w:p>
    <w:p>
      <w:pPr>
        <w:pStyle w:val="0"/>
        <w:jc w:val="both"/>
      </w:pPr>
      <w:r>
        <w:rPr>
          <w:sz w:val="20"/>
        </w:rPr>
        <w:t xml:space="preserve">(в ред. </w:t>
      </w:r>
      <w:hyperlink w:history="0" r:id="rId202"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обязательство получателя гранта - молодого предпринимателя ежегодно в течение 3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своей деятельности;</w:t>
      </w:r>
    </w:p>
    <w:p>
      <w:pPr>
        <w:pStyle w:val="0"/>
        <w:jc w:val="both"/>
      </w:pPr>
      <w:r>
        <w:rPr>
          <w:sz w:val="20"/>
        </w:rPr>
        <w:t xml:space="preserve">(абзац введен </w:t>
      </w:r>
      <w:hyperlink w:history="0" r:id="rId20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bookmarkStart w:id="494" w:name="P494"/>
    <w:bookmarkEnd w:id="494"/>
    <w:p>
      <w:pPr>
        <w:pStyle w:val="0"/>
        <w:spacing w:before="200" w:line-rule="auto"/>
        <w:ind w:firstLine="540"/>
        <w:jc w:val="both"/>
      </w:pPr>
      <w:r>
        <w:rPr>
          <w:sz w:val="20"/>
        </w:rPr>
        <w:t xml:space="preserve">- обязательство получателя гранта осуществлять расходы в соответствии с проектом в сфере социального предпринимательства или проектом в сфере предпринимательской деятельности, представленным в соответствии с </w:t>
      </w:r>
      <w:hyperlink w:history="0" w:anchor="P180" w:tooltip="2.7.1. Обязательными для предоставления в Фонд документами являются:">
        <w:r>
          <w:rPr>
            <w:sz w:val="20"/>
            <w:color w:val="0000ff"/>
          </w:rPr>
          <w:t xml:space="preserve">пунктом 2.7.1</w:t>
        </w:r>
      </w:hyperlink>
      <w:r>
        <w:rPr>
          <w:sz w:val="20"/>
        </w:rPr>
        <w:t xml:space="preserve"> настоящего Порядка.</w:t>
      </w:r>
    </w:p>
    <w:p>
      <w:pPr>
        <w:pStyle w:val="0"/>
        <w:jc w:val="both"/>
      </w:pPr>
      <w:r>
        <w:rPr>
          <w:sz w:val="20"/>
        </w:rPr>
        <w:t xml:space="preserve">(абзац введен </w:t>
      </w:r>
      <w:hyperlink w:history="0" r:id="rId20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bookmarkStart w:id="496" w:name="P496"/>
    <w:bookmarkEnd w:id="496"/>
    <w:p>
      <w:pPr>
        <w:pStyle w:val="0"/>
        <w:spacing w:before="200" w:line-rule="auto"/>
        <w:ind w:firstLine="540"/>
        <w:jc w:val="both"/>
      </w:pPr>
      <w:hyperlink w:history="0" r:id="rId20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3.9</w:t>
        </w:r>
      </w:hyperlink>
      <w:r>
        <w:rPr>
          <w:sz w:val="20"/>
        </w:rPr>
        <w:t xml:space="preserve">. В случае неподписания Соглашения получателем гранта с Уполномоченным органом в срок, установленный </w:t>
      </w:r>
      <w:hyperlink w:history="0" w:anchor="P475" w:tooltip="3.8. В течение 5 рабочих дней со дня, следующего за днем подписания Приказа (Дополнительного решения) директором Уполномоченного органа или лицом, его замещающим, Уполномоченный орган заключает с получателем гранта Соглашение в соответствии с типовой формой, утвержденной Министерством финансов Российской Федерации.">
        <w:r>
          <w:rPr>
            <w:sz w:val="20"/>
            <w:color w:val="0000ff"/>
          </w:rPr>
          <w:t xml:space="preserve">пунктом 3.8</w:t>
        </w:r>
      </w:hyperlink>
      <w:r>
        <w:rPr>
          <w:sz w:val="20"/>
        </w:rPr>
        <w:t xml:space="preserve"> настоящего Порядка, получатель гранта считается уклонившимся от заключения Соглашения.</w:t>
      </w:r>
    </w:p>
    <w:p>
      <w:pPr>
        <w:pStyle w:val="0"/>
        <w:jc w:val="both"/>
      </w:pPr>
      <w:r>
        <w:rPr>
          <w:sz w:val="20"/>
        </w:rPr>
        <w:t xml:space="preserve">(в ред. </w:t>
      </w:r>
      <w:hyperlink w:history="0" r:id="rId20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В таком случае, грант не предоставляется и Уполномоченный орган заключает Соглашение с участником отбора, заявке на участие в отборе которой присвоен последующий номер в рейтинге заявок (при условии соответствия требованиям </w:t>
      </w:r>
      <w:hyperlink w:history="0" w:anchor="P374" w:tooltip="2.17. Гранты предоставляются участникам отбора, набравшим не менее 7 баллов.">
        <w:r>
          <w:rPr>
            <w:sz w:val="20"/>
            <w:color w:val="0000ff"/>
          </w:rPr>
          <w:t xml:space="preserve">абзаца первого пункта 2.17</w:t>
        </w:r>
      </w:hyperlink>
      <w:r>
        <w:rPr>
          <w:sz w:val="20"/>
        </w:rPr>
        <w:t xml:space="preserve"> настоящего Порядка).</w:t>
      </w:r>
    </w:p>
    <w:p>
      <w:pPr>
        <w:pStyle w:val="0"/>
        <w:spacing w:before="200" w:line-rule="auto"/>
        <w:ind w:firstLine="540"/>
        <w:jc w:val="both"/>
      </w:pPr>
      <w:hyperlink w:history="0" r:id="rId20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3.10</w:t>
        </w:r>
      </w:hyperlink>
      <w:r>
        <w:rPr>
          <w:sz w:val="20"/>
        </w:rPr>
        <w:t xml:space="preserve">. В течение 2 рабочих дней со дня подписания Соглашения Уполномоченный орган готовит и подписывает приказ о выделении средств гранта. Уполномоченный орган не позднее 10-го рабочего дня, следующего за днем принятия Уполномоченным органом решения о предоставлении гранта, перечисляет грант на расчетный счет получателя гранта, открытый получателем гранта в учреждениях Центрального банка Российской Федерации или кредитных организациях.</w:t>
      </w:r>
    </w:p>
    <w:bookmarkStart w:id="500" w:name="P500"/>
    <w:bookmarkEnd w:id="500"/>
    <w:p>
      <w:pPr>
        <w:pStyle w:val="0"/>
        <w:spacing w:before="200" w:line-rule="auto"/>
        <w:ind w:firstLine="540"/>
        <w:jc w:val="both"/>
      </w:pPr>
      <w:hyperlink w:history="0" r:id="rId20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3.11</w:t>
        </w:r>
      </w:hyperlink>
      <w:r>
        <w:rPr>
          <w:sz w:val="20"/>
        </w:rPr>
        <w:t xml:space="preserve">.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пунктах 3.7.1</w:t>
        </w:r>
      </w:hyperlink>
      <w:r>
        <w:rPr>
          <w:sz w:val="20"/>
        </w:rPr>
        <w:t xml:space="preserve">, </w:t>
      </w:r>
      <w:hyperlink w:history="0" w:anchor="P456" w:tooltip="3.7.2. Дополнительно к расходам, указанным в пункте 3.7.1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
        <w:r>
          <w:rPr>
            <w:sz w:val="20"/>
            <w:color w:val="0000ff"/>
          </w:rPr>
          <w:t xml:space="preserve">3.7.2</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20.12.2022 </w:t>
      </w:r>
      <w:hyperlink w:history="0" r:id="rId209"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rPr>
        <w:t xml:space="preserve">, от 09.10.2023 </w:t>
      </w:r>
      <w:hyperlink w:history="0" r:id="rId21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Срок реализации проекта не может превышать 12 месяцев со дня, следующего за днем заключения Соглашения.</w:t>
      </w:r>
    </w:p>
    <w:p>
      <w:pPr>
        <w:pStyle w:val="0"/>
        <w:jc w:val="both"/>
      </w:pPr>
      <w:r>
        <w:rPr>
          <w:sz w:val="20"/>
        </w:rPr>
        <w:t xml:space="preserve">(в ред. </w:t>
      </w:r>
      <w:hyperlink w:history="0" r:id="rId211"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p>
      <w:pPr>
        <w:pStyle w:val="0"/>
        <w:spacing w:before="200" w:line-rule="auto"/>
        <w:ind w:firstLine="540"/>
        <w:jc w:val="both"/>
      </w:pPr>
      <w:r>
        <w:rPr>
          <w:sz w:val="20"/>
        </w:rPr>
        <w:t xml:space="preserve">Датой завершения обязательства по достижению результата предоставления гранта, которая указывается в соглашении, является окончание срока реализации проекта.</w:t>
      </w:r>
    </w:p>
    <w:p>
      <w:pPr>
        <w:pStyle w:val="0"/>
        <w:jc w:val="both"/>
      </w:pPr>
      <w:r>
        <w:rPr>
          <w:sz w:val="20"/>
        </w:rPr>
        <w:t xml:space="preserve">(в ред. </w:t>
      </w:r>
      <w:hyperlink w:history="0" r:id="rId212"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p>
      <w:pPr>
        <w:pStyle w:val="0"/>
        <w:spacing w:before="200" w:line-rule="auto"/>
        <w:ind w:firstLine="540"/>
        <w:jc w:val="both"/>
      </w:pPr>
      <w:r>
        <w:rPr>
          <w:sz w:val="20"/>
        </w:rPr>
        <w:t xml:space="preserve">Точная дата завершения и конечное значение результата (конкретная количественная характеристика итогов) устанавливаются в соглашении.</w:t>
      </w:r>
    </w:p>
    <w:p>
      <w:pPr>
        <w:pStyle w:val="0"/>
        <w:jc w:val="both"/>
      </w:pPr>
      <w:r>
        <w:rPr>
          <w:sz w:val="20"/>
        </w:rPr>
        <w:t xml:space="preserve">(в ред. </w:t>
      </w:r>
      <w:hyperlink w:history="0" r:id="rId213"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p>
      <w:pPr>
        <w:pStyle w:val="0"/>
        <w:spacing w:before="200" w:line-rule="auto"/>
        <w:ind w:firstLine="540"/>
        <w:jc w:val="both"/>
      </w:pPr>
      <w:hyperlink w:history="0" r:id="rId21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3.12</w:t>
        </w:r>
      </w:hyperlink>
      <w:r>
        <w:rPr>
          <w:sz w:val="20"/>
        </w:rPr>
        <w:t xml:space="preserve">. В случае неисполнения принятых субъектом МСП обязательств по достижению результата предоставления гранта, установленного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пунктом 3.11</w:t>
        </w:r>
      </w:hyperlink>
      <w:r>
        <w:rPr>
          <w:sz w:val="20"/>
        </w:rPr>
        <w:t xml:space="preserve"> настоящего Порядка, а также в случае неисполнения или ненадлежащего исполнения принятых требований и условий, установленных настоящим Порядком, при предоставлении гранта грант подлежит возврату в областной бюджет в соответствии с </w:t>
      </w:r>
      <w:hyperlink w:history="0" w:anchor="P542" w:tooltip="V. Требования об осуществлении контроля (мониторинга)">
        <w:r>
          <w:rPr>
            <w:sz w:val="20"/>
            <w:color w:val="0000ff"/>
          </w:rPr>
          <w:t xml:space="preserve">разделом V</w:t>
        </w:r>
      </w:hyperlink>
      <w:r>
        <w:rPr>
          <w:sz w:val="20"/>
        </w:rPr>
        <w:t xml:space="preserve"> настоящего Порядка.</w:t>
      </w:r>
    </w:p>
    <w:p>
      <w:pPr>
        <w:pStyle w:val="0"/>
        <w:jc w:val="both"/>
      </w:pPr>
      <w:r>
        <w:rPr>
          <w:sz w:val="20"/>
        </w:rPr>
        <w:t xml:space="preserve">(в ред. </w:t>
      </w:r>
      <w:hyperlink w:history="0" r:id="rId21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hyperlink w:history="0" r:id="rId21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3.13</w:t>
        </w:r>
      </w:hyperlink>
      <w:r>
        <w:rPr>
          <w:sz w:val="20"/>
        </w:rPr>
        <w:t xml:space="preserve">. При возникновении необходимости внесения изменений в соглашение о предоставлении гранта получатель гранта направляет в Уполномоченный орган письменное уведомление с обоснованием необходимости внесения изменений и при необходимости с приложением подтверждающих документов в срок не позднее 15 рабочих дней до дня внесения необходимых изменений.</w:t>
      </w:r>
    </w:p>
    <w:p>
      <w:pPr>
        <w:pStyle w:val="0"/>
        <w:spacing w:before="200" w:line-rule="auto"/>
        <w:ind w:firstLine="540"/>
        <w:jc w:val="both"/>
      </w:pPr>
      <w:r>
        <w:rPr>
          <w:sz w:val="20"/>
        </w:rPr>
        <w:t xml:space="preserve">В случае необходимости внесения изменений в перечень затрат в части перераспределения между направлениями расходов, связанных с реализацией проекта в сфере социального предпринимательства или проекта в сфере предпринимательской деятельности в пределах затрат, указанных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пунктах 3.7.1</w:t>
        </w:r>
      </w:hyperlink>
      <w:r>
        <w:rPr>
          <w:sz w:val="20"/>
        </w:rPr>
        <w:t xml:space="preserve">, </w:t>
      </w:r>
      <w:hyperlink w:history="0" w:anchor="P456" w:tooltip="3.7.2. Дополнительно к расходам, указанным в пункте 3.7.1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
        <w:r>
          <w:rPr>
            <w:sz w:val="20"/>
            <w:color w:val="0000ff"/>
          </w:rPr>
          <w:t xml:space="preserve">3.7.2</w:t>
        </w:r>
      </w:hyperlink>
      <w:r>
        <w:rPr>
          <w:sz w:val="20"/>
        </w:rPr>
        <w:t xml:space="preserve"> настоящего Порядка (без увеличения общей суммы гранта), финансовым обеспечением которых являются средства гранта и средства софинансирования, к уведомлению прилагаются расчет-обоснование сумм по направлениям расходования гранта, документы, подтверждающие расчеты.</w:t>
      </w:r>
    </w:p>
    <w:p>
      <w:pPr>
        <w:pStyle w:val="0"/>
        <w:jc w:val="both"/>
      </w:pPr>
      <w:r>
        <w:rPr>
          <w:sz w:val="20"/>
        </w:rPr>
        <w:t xml:space="preserve">(в ред. </w:t>
      </w:r>
      <w:hyperlink w:history="0" r:id="rId21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В зависимости от направления расходов к документам, подтверждающим необходимость внесения изменений в перечень затрат, финансовым обеспечением которых являются средства гранта и средства софинансирования, относятся: копии заключенных договоров, копии актов выполненных работ (оказанных услуг), копии универсальных передаточных документов, копии товарных накладных, копии счетов на оплату, копии расчетных (платежных) документов, документы с отметкой банка, подтверждающие расходование средств, и прочие первичные учетные документы, заверенные руководителем субъекта МСП и оформленные в соответствие со </w:t>
      </w:r>
      <w:hyperlink w:history="0" r:id="rId218" w:tooltip="Федеральный закон от 06.12.2011 N 402-ФЗ (ред. от 12.12.2023) &quot;О бухгалтерском учете&quot; {КонсультантПлюс}">
        <w:r>
          <w:rPr>
            <w:sz w:val="20"/>
            <w:color w:val="0000ff"/>
          </w:rPr>
          <w:t xml:space="preserve">ст. 9</w:t>
        </w:r>
      </w:hyperlink>
      <w:r>
        <w:rPr>
          <w:sz w:val="20"/>
        </w:rPr>
        <w:t xml:space="preserve"> Федерального закона от 06.12.2011 N 402-ФЗ "О бухгалтерском учете".</w:t>
      </w:r>
    </w:p>
    <w:p>
      <w:pPr>
        <w:pStyle w:val="0"/>
        <w:spacing w:before="200" w:line-rule="auto"/>
        <w:ind w:firstLine="540"/>
        <w:jc w:val="both"/>
      </w:pPr>
      <w:r>
        <w:rPr>
          <w:sz w:val="20"/>
        </w:rPr>
        <w:t xml:space="preserve">Указанные выше изменения возможны при условии предварительного согласования с Фондом.</w:t>
      </w:r>
    </w:p>
    <w:p>
      <w:pPr>
        <w:pStyle w:val="0"/>
        <w:spacing w:before="200" w:line-rule="auto"/>
        <w:ind w:firstLine="540"/>
        <w:jc w:val="both"/>
      </w:pPr>
      <w:r>
        <w:rPr>
          <w:sz w:val="20"/>
        </w:rPr>
        <w:t xml:space="preserve">Решение о внесении изменения принимается уполномоченным органом и оформляется дополнительным соглашением.</w:t>
      </w:r>
    </w:p>
    <w:p>
      <w:pPr>
        <w:pStyle w:val="0"/>
        <w:spacing w:before="200" w:line-rule="auto"/>
        <w:ind w:firstLine="540"/>
        <w:jc w:val="both"/>
      </w:pPr>
      <w:r>
        <w:rPr>
          <w:sz w:val="20"/>
        </w:rPr>
        <w:t xml:space="preserve">Заключение дополнительных соглашений, предусматривающих внесение в соглашение изменений или его расторжение, осуществляется в порядке, установленном </w:t>
      </w:r>
      <w:hyperlink w:history="0" w:anchor="P475" w:tooltip="3.8. В течение 5 рабочих дней со дня, следующего за днем подписания Приказа (Дополнительного решения) директором Уполномоченного органа или лицом, его замещающим, Уполномоченный орган заключает с получателем гранта Соглашение в соответствии с типовой формой, утвержденной Министерством финансов Российской Федерации.">
        <w:r>
          <w:rPr>
            <w:sz w:val="20"/>
            <w:color w:val="0000ff"/>
          </w:rPr>
          <w:t xml:space="preserve">пунктом 3.8</w:t>
        </w:r>
      </w:hyperlink>
      <w:r>
        <w:rPr>
          <w:sz w:val="20"/>
        </w:rPr>
        <w:t xml:space="preserve"> настоящего Порядка.</w:t>
      </w:r>
    </w:p>
    <w:p>
      <w:pPr>
        <w:pStyle w:val="0"/>
        <w:jc w:val="both"/>
      </w:pPr>
      <w:r>
        <w:rPr>
          <w:sz w:val="20"/>
        </w:rPr>
        <w:t xml:space="preserve">(в ред. </w:t>
      </w:r>
      <w:hyperlink w:history="0" r:id="rId21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jc w:val="both"/>
      </w:pPr>
      <w:r>
        <w:rPr>
          <w:sz w:val="20"/>
        </w:rPr>
        <w:t xml:space="preserve">(пункт введен </w:t>
      </w:r>
      <w:hyperlink w:history="0" r:id="rId220"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20.12.2022 N 964-п)</w:t>
      </w:r>
    </w:p>
    <w:p>
      <w:pPr>
        <w:pStyle w:val="0"/>
        <w:spacing w:before="200" w:line-rule="auto"/>
        <w:ind w:firstLine="540"/>
        <w:jc w:val="both"/>
      </w:pPr>
      <w:hyperlink w:history="0" r:id="rId22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3.14</w:t>
        </w:r>
      </w:hyperlink>
      <w:r>
        <w:rPr>
          <w:sz w:val="20"/>
        </w:rPr>
        <w:t xml:space="preserve">. В соответствии с </w:t>
      </w:r>
      <w:hyperlink w:history="0" r:id="rId222"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пунктами 5.3</w:t>
        </w:r>
      </w:hyperlink>
      <w:r>
        <w:rPr>
          <w:sz w:val="20"/>
        </w:rPr>
        <w:t xml:space="preserve">, </w:t>
      </w:r>
      <w:hyperlink w:history="0" r:id="rId223" w:tooltip="Приказ Минэкономразвития России от 26.03.2021 N 142 (ред. от 30.11.2023)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5.4 раздела 5</w:t>
        </w:r>
      </w:hyperlink>
      <w:r>
        <w:rPr>
          <w:sz w:val="20"/>
        </w:rPr>
        <w:t xml:space="preserve"> "Требования к реализации мероприятия, направленного на предоставление комплекса услуг и (или)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к приказу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w:t>
      </w:r>
    </w:p>
    <w:p>
      <w:pPr>
        <w:pStyle w:val="0"/>
        <w:spacing w:before="200" w:line-rule="auto"/>
        <w:ind w:firstLine="540"/>
        <w:jc w:val="both"/>
      </w:pPr>
      <w:r>
        <w:rPr>
          <w:sz w:val="20"/>
        </w:rPr>
        <w:t xml:space="preserve">Получатель гранта представляет в уполномоченный орган документы, подтверждающие его нахождение в период действия соглашения о предоставлении гранта на военной службе по мобилизации или контракта о прохождении военной службы в течение срока действия соглашения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По результатам с получателем гранта уполномоченный орган заключает дополнительное соглашение.</w:t>
      </w:r>
    </w:p>
    <w:p>
      <w:pPr>
        <w:pStyle w:val="0"/>
        <w:jc w:val="both"/>
      </w:pPr>
      <w:r>
        <w:rPr>
          <w:sz w:val="20"/>
        </w:rPr>
        <w:t xml:space="preserve">(пункт введен </w:t>
      </w:r>
      <w:hyperlink w:history="0" r:id="rId224"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20.12.2022 N 964-п)</w:t>
      </w:r>
    </w:p>
    <w:p>
      <w:pPr>
        <w:pStyle w:val="0"/>
        <w:jc w:val="both"/>
      </w:pPr>
      <w:r>
        <w:rPr>
          <w:sz w:val="20"/>
        </w:rPr>
      </w:r>
    </w:p>
    <w:bookmarkStart w:id="524" w:name="P524"/>
    <w:bookmarkEnd w:id="524"/>
    <w:p>
      <w:pPr>
        <w:pStyle w:val="2"/>
        <w:outlineLvl w:val="1"/>
        <w:jc w:val="center"/>
      </w:pPr>
      <w:r>
        <w:rPr>
          <w:sz w:val="20"/>
        </w:rPr>
        <w:t xml:space="preserve">IV. Требования к отчетности</w:t>
      </w:r>
    </w:p>
    <w:p>
      <w:pPr>
        <w:pStyle w:val="0"/>
        <w:jc w:val="both"/>
      </w:pPr>
      <w:r>
        <w:rPr>
          <w:sz w:val="20"/>
        </w:rPr>
      </w:r>
    </w:p>
    <w:bookmarkStart w:id="526" w:name="P526"/>
    <w:bookmarkEnd w:id="526"/>
    <w:p>
      <w:pPr>
        <w:pStyle w:val="0"/>
        <w:ind w:firstLine="540"/>
        <w:jc w:val="both"/>
      </w:pPr>
      <w:r>
        <w:rPr>
          <w:sz w:val="20"/>
        </w:rPr>
        <w:t xml:space="preserve">4.1. Получатель гранта ежеквартально в течение одного года с даты заключения Соглашения в срок до 20 числа месяца, следующего за отчетным периодом, предоставляет в Уполномоченный орган отчеты о достижении значений результатов, установленных при предоставлении гранта, и о расходах получателя гранта, источником финансового обеспечения которых является грант, согласно формам, установленным Министерством финансов Российской Федерации.</w:t>
      </w:r>
    </w:p>
    <w:p>
      <w:pPr>
        <w:pStyle w:val="0"/>
        <w:jc w:val="both"/>
      </w:pPr>
      <w:r>
        <w:rPr>
          <w:sz w:val="20"/>
        </w:rPr>
        <w:t xml:space="preserve">(п. 4.1 в ред. </w:t>
      </w:r>
      <w:hyperlink w:history="0" r:id="rId225"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10.12.2021 N 816-п)</w:t>
      </w:r>
    </w:p>
    <w:bookmarkStart w:id="528" w:name="P528"/>
    <w:bookmarkEnd w:id="528"/>
    <w:p>
      <w:pPr>
        <w:pStyle w:val="0"/>
        <w:spacing w:before="200" w:line-rule="auto"/>
        <w:ind w:firstLine="540"/>
        <w:jc w:val="both"/>
      </w:pPr>
      <w:r>
        <w:rPr>
          <w:sz w:val="20"/>
        </w:rPr>
        <w:t xml:space="preserve">4.2. Получатель гранта в срок до 20 числа месяца, следующего за месяцем, в котором получатель гранта должен завершить обязательства по реализации проекта согласно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пункту 3.11</w:t>
        </w:r>
      </w:hyperlink>
      <w:r>
        <w:rPr>
          <w:sz w:val="20"/>
        </w:rPr>
        <w:t xml:space="preserve"> настоящего Порядка, представляет в Уполномоченный орган </w:t>
      </w:r>
      <w:hyperlink w:history="0" w:anchor="P1843" w:tooltip="Отчет">
        <w:r>
          <w:rPr>
            <w:sz w:val="20"/>
            <w:color w:val="0000ff"/>
          </w:rPr>
          <w:t xml:space="preserve">отчет</w:t>
        </w:r>
      </w:hyperlink>
      <w:r>
        <w:rPr>
          <w:sz w:val="20"/>
        </w:rPr>
        <w:t xml:space="preserve"> о реализации проекта по форме согласно приложению N 6 к настоящему Порядку.</w:t>
      </w:r>
    </w:p>
    <w:p>
      <w:pPr>
        <w:pStyle w:val="0"/>
        <w:jc w:val="both"/>
      </w:pPr>
      <w:r>
        <w:rPr>
          <w:sz w:val="20"/>
        </w:rPr>
        <w:t xml:space="preserve">(в ред. </w:t>
      </w:r>
      <w:hyperlink w:history="0" r:id="rId22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В случае досрочной реализации проекта (результата предоставления гранта) в соответствии с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пунктом 3.11</w:t>
        </w:r>
      </w:hyperlink>
      <w:r>
        <w:rPr>
          <w:sz w:val="20"/>
        </w:rPr>
        <w:t xml:space="preserve"> настоящего Порядка </w:t>
      </w:r>
      <w:hyperlink w:history="0" w:anchor="P1843" w:tooltip="Отчет">
        <w:r>
          <w:rPr>
            <w:sz w:val="20"/>
            <w:color w:val="0000ff"/>
          </w:rPr>
          <w:t xml:space="preserve">отчет</w:t>
        </w:r>
      </w:hyperlink>
      <w:r>
        <w:rPr>
          <w:sz w:val="20"/>
        </w:rPr>
        <w:t xml:space="preserve"> о реализации проекта по форме согласно приложению N 6 к настоящему Порядку представляется в составе ежеквартальной отчетности по итогам квартала, в котором был реализован проект.</w:t>
      </w:r>
    </w:p>
    <w:p>
      <w:pPr>
        <w:pStyle w:val="0"/>
        <w:jc w:val="both"/>
      </w:pPr>
      <w:r>
        <w:rPr>
          <w:sz w:val="20"/>
        </w:rPr>
        <w:t xml:space="preserve">(в ред. </w:t>
      </w:r>
      <w:hyperlink w:history="0" r:id="rId22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К отчету о реализации проекта получатель гранта прикладывает копии документов, подтверждающих целевое использование гранта, участие собственных (заемных) средств получателя гранта в реализации проекта в размере не менее 25% от размера расходов, предусмотренных на реализацию проекта, заверенные руководителем субъекта МСП.</w:t>
      </w:r>
    </w:p>
    <w:p>
      <w:pPr>
        <w:pStyle w:val="0"/>
        <w:spacing w:before="200" w:line-rule="auto"/>
        <w:ind w:firstLine="540"/>
        <w:jc w:val="both"/>
      </w:pPr>
      <w:r>
        <w:rPr>
          <w:sz w:val="20"/>
        </w:rPr>
        <w:t xml:space="preserve">В зависимости от понесенных расходов к документам, подтверждающим целевое использование гранта, участие собственных (заемных) средств получателя гранта в реализации проекта, относятся: копии заключенных договоров, копии актов выполненных работ (оказанных услуг), копии универсальных передаточных документов, копии товарных накладных, копии счетов на оплату, копии расчетных (платежных) документов, документы с отметкой банка, подтверждающие расходование средств, и прочие первичные учетные документы, оформленные в соответствие со </w:t>
      </w:r>
      <w:hyperlink w:history="0" r:id="rId228" w:tooltip="Федеральный закон от 06.12.2011 N 402-ФЗ (ред. от 12.12.2023) &quot;О бухгалтерском учете&quot; {КонсультантПлюс}">
        <w:r>
          <w:rPr>
            <w:sz w:val="20"/>
            <w:color w:val="0000ff"/>
          </w:rPr>
          <w:t xml:space="preserve">ст. 9</w:t>
        </w:r>
      </w:hyperlink>
      <w:r>
        <w:rPr>
          <w:sz w:val="20"/>
        </w:rPr>
        <w:t xml:space="preserve"> Федерального закона от 06.12.2011 N 402-ФЗ "О бухгалтерском учете".</w:t>
      </w:r>
    </w:p>
    <w:p>
      <w:pPr>
        <w:pStyle w:val="0"/>
        <w:spacing w:before="200" w:line-rule="auto"/>
        <w:ind w:firstLine="540"/>
        <w:jc w:val="both"/>
      </w:pPr>
      <w:r>
        <w:rPr>
          <w:sz w:val="20"/>
        </w:rPr>
        <w:t xml:space="preserve">В случае досрочной реализации проекта (результата предоставления гранта) в соответствии с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пунктом 3.11</w:t>
        </w:r>
      </w:hyperlink>
      <w:r>
        <w:rPr>
          <w:sz w:val="20"/>
        </w:rPr>
        <w:t xml:space="preserve"> настоящего Порядка </w:t>
      </w:r>
      <w:hyperlink w:history="0" w:anchor="P1843" w:tooltip="Отчет">
        <w:r>
          <w:rPr>
            <w:sz w:val="20"/>
            <w:color w:val="0000ff"/>
          </w:rPr>
          <w:t xml:space="preserve">отчет</w:t>
        </w:r>
      </w:hyperlink>
      <w:r>
        <w:rPr>
          <w:sz w:val="20"/>
        </w:rPr>
        <w:t xml:space="preserve"> о реализации проекта по форме согласно приложению N 6 к настоящему Порядку представляется в составе ежеквартальной отчетности по итогам квартала, в котором был реализован проект.</w:t>
      </w:r>
    </w:p>
    <w:p>
      <w:pPr>
        <w:pStyle w:val="0"/>
        <w:jc w:val="both"/>
      </w:pPr>
      <w:r>
        <w:rPr>
          <w:sz w:val="20"/>
        </w:rPr>
        <w:t xml:space="preserve">(в ред. </w:t>
      </w:r>
      <w:hyperlink w:history="0" r:id="rId22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jc w:val="both"/>
      </w:pPr>
      <w:r>
        <w:rPr>
          <w:sz w:val="20"/>
        </w:rPr>
        <w:t xml:space="preserve">(п. 4.2 в ред. </w:t>
      </w:r>
      <w:hyperlink w:history="0" r:id="rId230"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20.12.2022 N 964-п)</w:t>
      </w:r>
    </w:p>
    <w:p>
      <w:pPr>
        <w:pStyle w:val="0"/>
        <w:spacing w:before="200" w:line-rule="auto"/>
        <w:ind w:firstLine="540"/>
        <w:jc w:val="both"/>
      </w:pPr>
      <w:r>
        <w:rPr>
          <w:sz w:val="20"/>
        </w:rPr>
        <w:t xml:space="preserve">4.3. Исключен. - </w:t>
      </w:r>
      <w:hyperlink w:history="0" r:id="rId23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w:t>
        </w:r>
      </w:hyperlink>
      <w:r>
        <w:rPr>
          <w:sz w:val="20"/>
        </w:rPr>
        <w:t xml:space="preserve"> Правительства Тюменской области от 09.10.2023 N 653-п.</w:t>
      </w:r>
    </w:p>
    <w:p>
      <w:pPr>
        <w:pStyle w:val="0"/>
        <w:spacing w:before="200" w:line-rule="auto"/>
        <w:ind w:firstLine="540"/>
        <w:jc w:val="both"/>
      </w:pPr>
      <w:hyperlink w:history="0" r:id="rId23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4.3</w:t>
        </w:r>
      </w:hyperlink>
      <w:r>
        <w:rPr>
          <w:sz w:val="20"/>
        </w:rPr>
        <w:t xml:space="preserve">. Получатели гранта несут ответственность за целевое использование гранта и достоверность представленных сведений об использовании гранта в соответствии с действующим законодательством Российской Федерации.</w:t>
      </w:r>
    </w:p>
    <w:bookmarkStart w:id="539" w:name="P539"/>
    <w:bookmarkEnd w:id="539"/>
    <w:p>
      <w:pPr>
        <w:pStyle w:val="0"/>
        <w:spacing w:before="200" w:line-rule="auto"/>
        <w:ind w:firstLine="540"/>
        <w:jc w:val="both"/>
      </w:pPr>
      <w:hyperlink w:history="0" r:id="rId23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4.4</w:t>
        </w:r>
      </w:hyperlink>
      <w:r>
        <w:rPr>
          <w:sz w:val="20"/>
        </w:rPr>
        <w:t xml:space="preserve">. Получатель гранта - молодой предприниматель ежегодно в срок до 20 мая предоставляет в Уполномоченный орган </w:t>
      </w:r>
      <w:hyperlink w:history="0" w:anchor="P2046" w:tooltip="Информация о финансово-экономических показателях">
        <w:r>
          <w:rPr>
            <w:sz w:val="20"/>
            <w:color w:val="0000ff"/>
          </w:rPr>
          <w:t xml:space="preserve">информацию</w:t>
        </w:r>
      </w:hyperlink>
      <w:r>
        <w:rPr>
          <w:sz w:val="20"/>
        </w:rPr>
        <w:t xml:space="preserve"> о финансово-экономических показателях своей деятельности по форме согласно приложению N 7 к настоящему Порядку.</w:t>
      </w:r>
    </w:p>
    <w:p>
      <w:pPr>
        <w:pStyle w:val="0"/>
        <w:jc w:val="both"/>
      </w:pPr>
      <w:r>
        <w:rPr>
          <w:sz w:val="20"/>
        </w:rPr>
        <w:t xml:space="preserve">(пункт введен </w:t>
      </w:r>
      <w:hyperlink w:history="0" r:id="rId23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20.06.2022 N 390-п)</w:t>
      </w:r>
    </w:p>
    <w:p>
      <w:pPr>
        <w:pStyle w:val="0"/>
        <w:jc w:val="both"/>
      </w:pPr>
      <w:r>
        <w:rPr>
          <w:sz w:val="20"/>
        </w:rPr>
      </w:r>
    </w:p>
    <w:bookmarkStart w:id="542" w:name="P542"/>
    <w:bookmarkEnd w:id="542"/>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w:t>
      </w:r>
    </w:p>
    <w:p>
      <w:pPr>
        <w:pStyle w:val="2"/>
        <w:jc w:val="center"/>
      </w:pPr>
      <w:r>
        <w:rPr>
          <w:sz w:val="20"/>
        </w:rPr>
        <w:t xml:space="preserve">предоставления грантов и ответственности за их нарушение</w:t>
      </w:r>
    </w:p>
    <w:p>
      <w:pPr>
        <w:pStyle w:val="0"/>
        <w:jc w:val="center"/>
      </w:pPr>
      <w:r>
        <w:rPr>
          <w:sz w:val="20"/>
        </w:rPr>
        <w:t xml:space="preserve">(в ред. постановлений Правительства Тюменской области</w:t>
      </w:r>
    </w:p>
    <w:p>
      <w:pPr>
        <w:pStyle w:val="0"/>
        <w:jc w:val="center"/>
      </w:pPr>
      <w:r>
        <w:rPr>
          <w:sz w:val="20"/>
        </w:rPr>
        <w:t xml:space="preserve">от 10.12.2021 </w:t>
      </w:r>
      <w:hyperlink w:history="0" r:id="rId235"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N 816-п</w:t>
        </w:r>
      </w:hyperlink>
      <w:r>
        <w:rPr>
          <w:sz w:val="20"/>
        </w:rPr>
        <w:t xml:space="preserve">, от 20.06.2022 </w:t>
      </w:r>
      <w:hyperlink w:history="0" r:id="rId23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w:t>
      </w:r>
    </w:p>
    <w:p>
      <w:pPr>
        <w:pStyle w:val="0"/>
        <w:jc w:val="center"/>
      </w:pPr>
      <w:r>
        <w:rPr>
          <w:sz w:val="20"/>
        </w:rPr>
        <w:t xml:space="preserve">от 09.10.2023 </w:t>
      </w:r>
      <w:hyperlink w:history="0" r:id="rId23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jc w:val="both"/>
      </w:pPr>
      <w:r>
        <w:rPr>
          <w:sz w:val="20"/>
        </w:rPr>
      </w:r>
    </w:p>
    <w:p>
      <w:pPr>
        <w:pStyle w:val="0"/>
        <w:ind w:firstLine="540"/>
        <w:jc w:val="both"/>
      </w:pPr>
      <w:r>
        <w:rPr>
          <w:sz w:val="20"/>
        </w:rPr>
        <w:t xml:space="preserve">5.1. Проведение проверок осуществляется Уполномоченным органом и органами государственного финансового контроля Тюменской области для обеспечения соблюдения получателем гранта условий и порядка его предоставления.</w:t>
      </w:r>
    </w:p>
    <w:p>
      <w:pPr>
        <w:pStyle w:val="0"/>
        <w:jc w:val="both"/>
      </w:pPr>
      <w:r>
        <w:rPr>
          <w:sz w:val="20"/>
        </w:rPr>
        <w:t xml:space="preserve">(п. 5.1 в ред. </w:t>
      </w:r>
      <w:hyperlink w:history="0" r:id="rId23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5.1.1. 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239"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постановлением</w:t>
        </w:r>
      </w:hyperlink>
      <w:r>
        <w:rPr>
          <w:sz w:val="20"/>
        </w:rPr>
        <w:t xml:space="preserve"> Правительства Тюменской области от 10.12.2021 N 816-п)</w:t>
      </w:r>
    </w:p>
    <w:p>
      <w:pPr>
        <w:pStyle w:val="0"/>
        <w:spacing w:before="200" w:line-rule="auto"/>
        <w:ind w:firstLine="540"/>
        <w:jc w:val="both"/>
      </w:pPr>
      <w:r>
        <w:rPr>
          <w:sz w:val="20"/>
        </w:rPr>
        <w:t xml:space="preserve">5.2. Государственный финансовый контроль в отношении Получателя осуществляется в соответствии со </w:t>
      </w:r>
      <w:hyperlink w:history="0" r:id="rId24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w:t>
      </w:r>
      <w:hyperlink w:history="0" r:id="rId24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5.2 в ред. </w:t>
      </w:r>
      <w:hyperlink w:history="0" r:id="rId242"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5.3. Уполномоченный орган в целях проверки соблюдения получателем гранта условий и порядка его предоставления, в том числе в части достижения результатов предоставления гранта, осуществляет:</w:t>
      </w:r>
    </w:p>
    <w:p>
      <w:pPr>
        <w:pStyle w:val="0"/>
        <w:jc w:val="both"/>
      </w:pPr>
      <w:r>
        <w:rPr>
          <w:sz w:val="20"/>
        </w:rPr>
        <w:t xml:space="preserve">(в ред. </w:t>
      </w:r>
      <w:hyperlink w:history="0" r:id="rId24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обязательные проверки отчетности, предусмотренной </w:t>
      </w:r>
      <w:hyperlink w:history="0" w:anchor="P524" w:tooltip="IV. Требования к отчетности">
        <w:r>
          <w:rPr>
            <w:sz w:val="20"/>
            <w:color w:val="0000ff"/>
          </w:rPr>
          <w:t xml:space="preserve">разделом 4</w:t>
        </w:r>
      </w:hyperlink>
      <w:r>
        <w:rPr>
          <w:sz w:val="20"/>
        </w:rPr>
        <w:t xml:space="preserve"> настоящего Порядка, а также документов (материалов), представленных получателем гранта в соответствии с </w:t>
      </w:r>
      <w:hyperlink w:history="0" w:anchor="P528" w:tooltip="4.2. Получатель гранта в срок до 20 числа месяца, следующего за месяцем, в котором получатель гранта должен завершить обязательства по реализации проекта согласно пункту 3.11 настоящего Порядка, представляет в Уполномоченный орган отчет о реализации проекта по форме согласно приложению N 6 к настоящему Порядку.">
        <w:r>
          <w:rPr>
            <w:sz w:val="20"/>
            <w:color w:val="0000ff"/>
          </w:rPr>
          <w:t xml:space="preserve">пунктом 4.2</w:t>
        </w:r>
      </w:hyperlink>
      <w:r>
        <w:rPr>
          <w:sz w:val="20"/>
        </w:rPr>
        <w:t xml:space="preserve"> настоящего Порядка;</w:t>
      </w:r>
    </w:p>
    <w:p>
      <w:pPr>
        <w:pStyle w:val="0"/>
        <w:spacing w:before="200" w:line-rule="auto"/>
        <w:ind w:firstLine="540"/>
        <w:jc w:val="both"/>
      </w:pPr>
      <w:r>
        <w:rPr>
          <w:sz w:val="20"/>
        </w:rPr>
        <w:t xml:space="preserve">- камеральные проверки получателя гранта, лиц, получающих средства на основании договоров, заключенных с получателем гранта, на основании материалов, информации и документов, представленных по запросу Уполномоченного органа;</w:t>
      </w:r>
    </w:p>
    <w:p>
      <w:pPr>
        <w:pStyle w:val="0"/>
        <w:spacing w:before="200" w:line-rule="auto"/>
        <w:ind w:firstLine="540"/>
        <w:jc w:val="both"/>
      </w:pPr>
      <w:r>
        <w:rPr>
          <w:sz w:val="20"/>
        </w:rPr>
        <w:t xml:space="preserve">- выездные проверки получателя гранта, лиц, получающих средства на основании договоров, заключенных с получателем гранта.</w:t>
      </w:r>
    </w:p>
    <w:bookmarkStart w:id="560" w:name="P560"/>
    <w:bookmarkEnd w:id="560"/>
    <w:p>
      <w:pPr>
        <w:pStyle w:val="0"/>
        <w:spacing w:before="200" w:line-rule="auto"/>
        <w:ind w:firstLine="540"/>
        <w:jc w:val="both"/>
      </w:pPr>
      <w:r>
        <w:rPr>
          <w:sz w:val="20"/>
        </w:rPr>
        <w:t xml:space="preserve">5.3.1. Уполномоченный орган в случае обнаружения недостоверности сведений, представленных в документах, подтверждающих целевое использование средств гранта, неисполнение условия Соглашения, установленного в </w:t>
      </w:r>
      <w:hyperlink w:history="0" w:anchor="P485" w:tooltip="-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абзаце восьмом пункта 3.8</w:t>
        </w:r>
      </w:hyperlink>
      <w:r>
        <w:rPr>
          <w:sz w:val="20"/>
        </w:rPr>
        <w:t xml:space="preserve"> настоящего Порядка, осуществляет, в целях проверки соблюдения субъектами предпринимательства условий и порядка предоставления гранта камеральные (без выезда к месту их нахождения на основании материалов, информации и документов, представленных по запросу Уполномоченного органа) и выездные (по месту их нахождения) проверки лиц, получающих средства на основании договоров, заключенных с получателем гранта.</w:t>
      </w:r>
    </w:p>
    <w:p>
      <w:pPr>
        <w:pStyle w:val="0"/>
        <w:jc w:val="both"/>
      </w:pPr>
      <w:r>
        <w:rPr>
          <w:sz w:val="20"/>
        </w:rPr>
        <w:t xml:space="preserve">(в ред. постановлений Правительства Тюменской области от 20.06.2022 </w:t>
      </w:r>
      <w:hyperlink w:history="0" r:id="rId24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24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5.4. Проверка отчетности, предусмотренной </w:t>
      </w:r>
      <w:hyperlink w:history="0" w:anchor="P524" w:tooltip="IV. Требования к отчетности">
        <w:r>
          <w:rPr>
            <w:sz w:val="20"/>
            <w:color w:val="0000ff"/>
          </w:rPr>
          <w:t xml:space="preserve">разделом 4</w:t>
        </w:r>
      </w:hyperlink>
      <w:r>
        <w:rPr>
          <w:sz w:val="20"/>
        </w:rPr>
        <w:t xml:space="preserve"> настоящего Порядка, является обязательной и проводится сплошным методом в отношении каждого получателя гранта без выезда к месту его нахождения на основании поступивших от получателя гранта документов.</w:t>
      </w:r>
    </w:p>
    <w:p>
      <w:pPr>
        <w:pStyle w:val="0"/>
        <w:spacing w:before="200" w:line-rule="auto"/>
        <w:ind w:firstLine="540"/>
        <w:jc w:val="both"/>
      </w:pPr>
      <w:r>
        <w:rPr>
          <w:sz w:val="20"/>
        </w:rPr>
        <w:t xml:space="preserve">5.5. Камеральная проверка проводится без выезда к месту нахождения получателя гранта в отношении следующих расходов, связанных с реализацией проектов:</w:t>
      </w:r>
    </w:p>
    <w:p>
      <w:pPr>
        <w:pStyle w:val="0"/>
        <w:jc w:val="both"/>
      </w:pPr>
      <w:r>
        <w:rPr>
          <w:sz w:val="20"/>
        </w:rPr>
        <w:t xml:space="preserve">(в ред. </w:t>
      </w:r>
      <w:hyperlink w:history="0" r:id="rId246"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выплата по передаче прав на франшизу (паушальный платеж);</w:t>
      </w:r>
    </w:p>
    <w:p>
      <w:pPr>
        <w:pStyle w:val="0"/>
        <w:spacing w:before="200" w:line-rule="auto"/>
        <w:ind w:firstLine="540"/>
        <w:jc w:val="both"/>
      </w:pPr>
      <w:r>
        <w:rPr>
          <w:sz w:val="20"/>
        </w:rPr>
        <w:t xml:space="preserve">-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spacing w:before="200" w:line-rule="auto"/>
        <w:ind w:firstLine="540"/>
        <w:jc w:val="both"/>
      </w:pPr>
      <w:r>
        <w:rPr>
          <w:sz w:val="20"/>
        </w:rPr>
        <w:t xml:space="preserve">- оплата коммунальных услуг и услуг электроснабжения;</w:t>
      </w:r>
    </w:p>
    <w:p>
      <w:pPr>
        <w:pStyle w:val="0"/>
        <w:spacing w:before="200" w:line-rule="auto"/>
        <w:ind w:firstLine="540"/>
        <w:jc w:val="both"/>
      </w:pPr>
      <w:r>
        <w:rPr>
          <w:sz w:val="20"/>
        </w:rPr>
        <w:t xml:space="preserve">- оформление результатов интеллектуальной деятельности;</w:t>
      </w:r>
    </w:p>
    <w:p>
      <w:pPr>
        <w:pStyle w:val="0"/>
        <w:spacing w:before="200" w:line-rule="auto"/>
        <w:ind w:firstLine="540"/>
        <w:jc w:val="both"/>
      </w:pPr>
      <w:r>
        <w:rPr>
          <w:sz w:val="20"/>
        </w:rPr>
        <w:t xml:space="preserve">- оплата услуг связи, в том числе информационно-телекоммуникационной сети "Интернет";</w:t>
      </w:r>
    </w:p>
    <w:p>
      <w:pPr>
        <w:pStyle w:val="0"/>
        <w:jc w:val="both"/>
      </w:pPr>
      <w:r>
        <w:rPr>
          <w:sz w:val="20"/>
        </w:rPr>
        <w:t xml:space="preserve">(в ред. </w:t>
      </w:r>
      <w:hyperlink w:history="0" r:id="rId24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pPr>
        <w:pStyle w:val="0"/>
        <w:spacing w:before="200" w:line-rule="auto"/>
        <w:ind w:firstLine="540"/>
        <w:jc w:val="both"/>
      </w:pPr>
      <w:r>
        <w:rPr>
          <w:sz w:val="20"/>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pPr>
        <w:pStyle w:val="0"/>
        <w:spacing w:before="200" w:line-rule="auto"/>
        <w:ind w:firstLine="540"/>
        <w:jc w:val="both"/>
      </w:pPr>
      <w:r>
        <w:rPr>
          <w:sz w:val="20"/>
        </w:rPr>
        <w:t xml:space="preserve">- приобретение сырья, расходных материалов, необходимых для производства продукции и оказания услуг;</w:t>
      </w:r>
    </w:p>
    <w:p>
      <w:pPr>
        <w:pStyle w:val="0"/>
        <w:jc w:val="both"/>
      </w:pPr>
      <w:r>
        <w:rPr>
          <w:sz w:val="20"/>
        </w:rPr>
        <w:t xml:space="preserve">(в ред. </w:t>
      </w:r>
      <w:hyperlink w:history="0" r:id="rId24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pPr>
        <w:pStyle w:val="0"/>
        <w:spacing w:before="200" w:line-rule="auto"/>
        <w:ind w:firstLine="540"/>
        <w:jc w:val="both"/>
      </w:pPr>
      <w:r>
        <w:rPr>
          <w:sz w:val="20"/>
        </w:rPr>
        <w:t xml:space="preserve">5.6. Выездные проверки проводятся по месту нахождения получателя гранта, в отношении следующих расходов, связанных с реализацией проектов:</w:t>
      </w:r>
    </w:p>
    <w:p>
      <w:pPr>
        <w:pStyle w:val="0"/>
        <w:jc w:val="both"/>
      </w:pPr>
      <w:r>
        <w:rPr>
          <w:sz w:val="20"/>
        </w:rPr>
        <w:t xml:space="preserve">(в ред. </w:t>
      </w:r>
      <w:hyperlink w:history="0" r:id="rId24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аренда нежилого помещения;</w:t>
      </w:r>
    </w:p>
    <w:p>
      <w:pPr>
        <w:pStyle w:val="0"/>
        <w:jc w:val="both"/>
      </w:pPr>
      <w:r>
        <w:rPr>
          <w:sz w:val="20"/>
        </w:rPr>
        <w:t xml:space="preserve">(в ред. </w:t>
      </w:r>
      <w:hyperlink w:history="0" r:id="rId25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ремонт нежилого помещения, включая приобретение строительных материалов, оборудования, необходимого для ремонта помещения;</w:t>
      </w:r>
    </w:p>
    <w:p>
      <w:pPr>
        <w:pStyle w:val="0"/>
        <w:jc w:val="both"/>
      </w:pPr>
      <w:r>
        <w:rPr>
          <w:sz w:val="20"/>
        </w:rPr>
        <w:t xml:space="preserve">(в ред. </w:t>
      </w:r>
      <w:hyperlink w:history="0" r:id="rId251"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аренда и (или) приобретение оргтехники, оборудования (в том числе инвентаря, мебели);</w:t>
      </w:r>
    </w:p>
    <w:p>
      <w:pPr>
        <w:pStyle w:val="0"/>
        <w:jc w:val="both"/>
      </w:pPr>
      <w:r>
        <w:rPr>
          <w:sz w:val="20"/>
        </w:rPr>
        <w:t xml:space="preserve">(в ред. </w:t>
      </w:r>
      <w:hyperlink w:history="0" r:id="rId252"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приобретение основных средств (за исключением приобретения зданий, сооружений, земельных участков, автомобилей);</w:t>
      </w:r>
    </w:p>
    <w:p>
      <w:pPr>
        <w:pStyle w:val="0"/>
        <w:jc w:val="both"/>
      </w:pPr>
      <w:r>
        <w:rPr>
          <w:sz w:val="20"/>
        </w:rPr>
        <w:t xml:space="preserve">(в ред. </w:t>
      </w:r>
      <w:hyperlink w:history="0" r:id="rId25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постановления</w:t>
        </w:r>
      </w:hyperlink>
      <w:r>
        <w:rPr>
          <w:sz w:val="20"/>
        </w:rPr>
        <w:t xml:space="preserve"> Правительства Тюменской области от 20.06.2022 N 390-п)</w:t>
      </w:r>
    </w:p>
    <w:p>
      <w:pPr>
        <w:pStyle w:val="0"/>
        <w:spacing w:before="200" w:line-rule="auto"/>
        <w:ind w:firstLine="540"/>
        <w:jc w:val="both"/>
      </w:pPr>
      <w:r>
        <w:rPr>
          <w:sz w:val="20"/>
        </w:rPr>
        <w:t xml:space="preserve">- переоборудование транспортных средств для перевозки маломобильных групп населения, в том числе инвалидов;</w:t>
      </w:r>
    </w:p>
    <w:p>
      <w:pPr>
        <w:pStyle w:val="0"/>
        <w:spacing w:before="200" w:line-rule="auto"/>
        <w:ind w:firstLine="540"/>
        <w:jc w:val="both"/>
      </w:pPr>
      <w:r>
        <w:rPr>
          <w:sz w:val="20"/>
        </w:rPr>
        <w:t xml:space="preserve">- уплата первого взноса (аванса) при заключении договора лизинга и (или) лизинговых платежей.</w:t>
      </w:r>
    </w:p>
    <w:p>
      <w:pPr>
        <w:pStyle w:val="0"/>
        <w:spacing w:before="200" w:line-rule="auto"/>
        <w:ind w:firstLine="540"/>
        <w:jc w:val="both"/>
      </w:pPr>
      <w:r>
        <w:rPr>
          <w:sz w:val="20"/>
        </w:rPr>
        <w:t xml:space="preserve">5.7. Решение о проведении камеральной или выездной проверки (далее - Проверка) принимается руководителем Уполномоченного органа и оформляется приказом, в котором указываются: вид проверки, наименование субъекта предпринимательства, тема проверки, руководитель и состав контрольной группы должностных лиц, уполномоченных на проведение проверки, срок проведения проверки.</w:t>
      </w:r>
    </w:p>
    <w:p>
      <w:pPr>
        <w:pStyle w:val="0"/>
        <w:spacing w:before="200" w:line-rule="auto"/>
        <w:ind w:firstLine="540"/>
        <w:jc w:val="both"/>
      </w:pPr>
      <w:r>
        <w:rPr>
          <w:sz w:val="20"/>
        </w:rPr>
        <w:t xml:space="preserve">Уполномоченный орган уведомляет о проведении проверки путем направления письма на почтовый адрес или на электронный адрес получателя гранта, лица, получающего средства на основании договоров, заключенных с получателем гранта, не позднее чем за 10 рабочих дней до дня начала проверки.</w:t>
      </w:r>
    </w:p>
    <w:p>
      <w:pPr>
        <w:pStyle w:val="0"/>
        <w:spacing w:before="200" w:line-rule="auto"/>
        <w:ind w:firstLine="540"/>
        <w:jc w:val="both"/>
      </w:pPr>
      <w:r>
        <w:rPr>
          <w:sz w:val="20"/>
        </w:rPr>
        <w:t xml:space="preserve">5.8. Основаниями для подготовки приказа о проведении Проверки являются:</w:t>
      </w:r>
    </w:p>
    <w:p>
      <w:pPr>
        <w:pStyle w:val="0"/>
        <w:spacing w:before="200" w:line-rule="auto"/>
        <w:ind w:firstLine="540"/>
        <w:jc w:val="both"/>
      </w:pPr>
      <w:r>
        <w:rPr>
          <w:sz w:val="20"/>
        </w:rPr>
        <w:t xml:space="preserve">1) план проверок на очередной финансовый год (далее - План проверок), который утверждается руководителем Уполномоченного органа (или лицом, его замещающим) до 31 декабря текущего года. План проверок включает в себя перечень получателей гранта, в отношении которых Уполномоченным органом планируется осуществить проверки в следующем финансовом году, и планируемый период для проведения проверки (плановые проверки);</w:t>
      </w:r>
    </w:p>
    <w:p>
      <w:pPr>
        <w:pStyle w:val="0"/>
        <w:spacing w:before="200" w:line-rule="auto"/>
        <w:ind w:firstLine="540"/>
        <w:jc w:val="both"/>
      </w:pPr>
      <w:r>
        <w:rPr>
          <w:sz w:val="20"/>
        </w:rPr>
        <w:t xml:space="preserve">2) поступившие поручения от Губернатора Тюменской области, Вице-Губернатора Тюменской области, заместителя Губернатора Тюменской области, координирующего и контролирующего деятельность Уполномоченного органа (внеплановая проверка);</w:t>
      </w:r>
    </w:p>
    <w:p>
      <w:pPr>
        <w:pStyle w:val="0"/>
        <w:spacing w:before="200" w:line-rule="auto"/>
        <w:ind w:firstLine="540"/>
        <w:jc w:val="both"/>
      </w:pPr>
      <w:r>
        <w:rPr>
          <w:sz w:val="20"/>
        </w:rPr>
        <w:t xml:space="preserve">3) поступившая от начальника отраслевого отдела уполномоченного органа служебная записка на имя руководителя Уполномоченного органа (или лицо его замещающее) о непредоставлении получателем гранта отчетности, указанной в </w:t>
      </w:r>
      <w:hyperlink w:history="0" w:anchor="P526" w:tooltip="4.1. Получатель гранта ежеквартально в течение одного года с даты заключения Соглашения в срок до 20 числа месяца, следующего за отчетным периодом, предоставляет в Уполномоченный орган отчеты о достижении значений результатов, установленных при предоставлении гранта, и о расходах получателя гранта, источником финансового обеспечения которых является грант, согласно формам, установленным Министерством финансов Российской Федерации.">
        <w:r>
          <w:rPr>
            <w:sz w:val="20"/>
            <w:color w:val="0000ff"/>
          </w:rPr>
          <w:t xml:space="preserve">пунктах 4.1</w:t>
        </w:r>
      </w:hyperlink>
      <w:r>
        <w:rPr>
          <w:sz w:val="20"/>
        </w:rPr>
        <w:t xml:space="preserve">, </w:t>
      </w:r>
      <w:hyperlink w:history="0" w:anchor="P528" w:tooltip="4.2. Получатель гранта в срок до 20 числа месяца, следующего за месяцем, в котором получатель гранта должен завершить обязательства по реализации проекта согласно пункту 3.11 настоящего Порядка, представляет в Уполномоченный орган отчет о реализации проекта по форме согласно приложению N 6 к настоящему Порядку.">
        <w:r>
          <w:rPr>
            <w:sz w:val="20"/>
            <w:color w:val="0000ff"/>
          </w:rPr>
          <w:t xml:space="preserve">4.2</w:t>
        </w:r>
      </w:hyperlink>
      <w:r>
        <w:rPr>
          <w:sz w:val="20"/>
        </w:rPr>
        <w:t xml:space="preserve">, </w:t>
      </w:r>
      <w:hyperlink w:history="0" w:anchor="P539" w:tooltip="4.4. Получатель гранта - молодой предприниматель ежегодно в срок до 20 мая предоставляет в Уполномоченный орган информацию о финансово-экономических показателях своей деятельности по форме согласно приложению N 7 к настоящему Порядку.">
        <w:r>
          <w:rPr>
            <w:sz w:val="20"/>
            <w:color w:val="0000ff"/>
          </w:rPr>
          <w:t xml:space="preserve">4.4</w:t>
        </w:r>
      </w:hyperlink>
      <w:r>
        <w:rPr>
          <w:sz w:val="20"/>
        </w:rPr>
        <w:t xml:space="preserve"> настоящего Порядка;</w:t>
      </w:r>
    </w:p>
    <w:p>
      <w:pPr>
        <w:pStyle w:val="0"/>
        <w:jc w:val="both"/>
      </w:pPr>
      <w:r>
        <w:rPr>
          <w:sz w:val="20"/>
        </w:rPr>
        <w:t xml:space="preserve">(в ред. постановлений Правительства Тюменской области от 20.06.2022 </w:t>
      </w:r>
      <w:hyperlink w:history="0" r:id="rId254"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25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p>
      <w:pPr>
        <w:pStyle w:val="0"/>
        <w:spacing w:before="200" w:line-rule="auto"/>
        <w:ind w:firstLine="540"/>
        <w:jc w:val="both"/>
      </w:pPr>
      <w:r>
        <w:rPr>
          <w:sz w:val="20"/>
        </w:rPr>
        <w:t xml:space="preserve">4) поступившая от начальника отраслевого отдела или контрольного отдела уполномоченного органа служебная записка на имя руководителя Уполномоченного органа (или лицо его замещающее) о необходимости проведения проверки в соответствии с </w:t>
      </w:r>
      <w:hyperlink w:history="0" w:anchor="P560" w:tooltip="5.3.1. Уполномоченный орган в случае обнаружения недостоверности сведений, представленных в документах, подтверждающих целевое использование средств гранта, неисполнение условия Соглашения, установленного в абзаце восьмом пункта 3.8 настоящего Порядка, осуществляет, в целях проверки соблюдения субъектами предпринимательства условий и порядка предоставления гранта камеральные (без выезда к месту их нахождения на основании материалов, информации и документов, представленных по запросу Уполномоченного орган...">
        <w:r>
          <w:rPr>
            <w:sz w:val="20"/>
            <w:color w:val="0000ff"/>
          </w:rPr>
          <w:t xml:space="preserve">пунктом 5.3.1</w:t>
        </w:r>
      </w:hyperlink>
      <w:r>
        <w:rPr>
          <w:sz w:val="20"/>
        </w:rPr>
        <w:t xml:space="preserve"> настоящего Порядка.</w:t>
      </w:r>
    </w:p>
    <w:p>
      <w:pPr>
        <w:pStyle w:val="0"/>
        <w:spacing w:before="200" w:line-rule="auto"/>
        <w:ind w:firstLine="540"/>
        <w:jc w:val="both"/>
      </w:pPr>
      <w:r>
        <w:rPr>
          <w:sz w:val="20"/>
        </w:rPr>
        <w:t xml:space="preserve">5.9. При формировании Плана проверок необходимо учитывать:</w:t>
      </w:r>
    </w:p>
    <w:p>
      <w:pPr>
        <w:pStyle w:val="0"/>
        <w:spacing w:before="200" w:line-rule="auto"/>
        <w:ind w:firstLine="540"/>
        <w:jc w:val="both"/>
      </w:pPr>
      <w:r>
        <w:rPr>
          <w:sz w:val="20"/>
        </w:rPr>
        <w:t xml:space="preserve">1) периодичность проведения проверок, которая должна составлять не реже одного раза в три года;</w:t>
      </w:r>
    </w:p>
    <w:p>
      <w:pPr>
        <w:pStyle w:val="0"/>
        <w:spacing w:before="200" w:line-rule="auto"/>
        <w:ind w:firstLine="540"/>
        <w:jc w:val="both"/>
      </w:pPr>
      <w:r>
        <w:rPr>
          <w:sz w:val="20"/>
        </w:rPr>
        <w:t xml:space="preserve">2) размер полученного гранта;</w:t>
      </w:r>
    </w:p>
    <w:p>
      <w:pPr>
        <w:pStyle w:val="0"/>
        <w:spacing w:before="200" w:line-rule="auto"/>
        <w:ind w:firstLine="540"/>
        <w:jc w:val="both"/>
      </w:pPr>
      <w:r>
        <w:rPr>
          <w:sz w:val="20"/>
        </w:rPr>
        <w:t xml:space="preserve">3) количество субъектов МСП - получателей гранта.</w:t>
      </w:r>
    </w:p>
    <w:p>
      <w:pPr>
        <w:pStyle w:val="0"/>
        <w:spacing w:before="200" w:line-rule="auto"/>
        <w:ind w:firstLine="540"/>
        <w:jc w:val="both"/>
      </w:pPr>
      <w:r>
        <w:rPr>
          <w:sz w:val="20"/>
        </w:rPr>
        <w:t xml:space="preserve">5.10. Срок проведения Проверки не может превышать 20 рабочих дней со дня начала проверки, установленного приказом Уполномоченного органа.</w:t>
      </w:r>
    </w:p>
    <w:p>
      <w:pPr>
        <w:pStyle w:val="0"/>
        <w:spacing w:before="200" w:line-rule="auto"/>
        <w:ind w:firstLine="540"/>
        <w:jc w:val="both"/>
      </w:pPr>
      <w:r>
        <w:rPr>
          <w:sz w:val="20"/>
        </w:rPr>
        <w:t xml:space="preserve">Продление срока проведения Проверки возможно по решению руководителя Уполномоченного органа в случаях:</w:t>
      </w:r>
    </w:p>
    <w:p>
      <w:pPr>
        <w:pStyle w:val="0"/>
        <w:spacing w:before="200" w:line-rule="auto"/>
        <w:ind w:firstLine="540"/>
        <w:jc w:val="both"/>
      </w:pPr>
      <w:r>
        <w:rPr>
          <w:sz w:val="20"/>
        </w:rPr>
        <w:t xml:space="preserve">1) необходимости обследования имущества и (или) исследования документов, находящихся не по месту нахождения субъекта предпринимательства, в отношении которого проводится Проверка;</w:t>
      </w:r>
    </w:p>
    <w:p>
      <w:pPr>
        <w:pStyle w:val="0"/>
        <w:spacing w:before="200" w:line-rule="auto"/>
        <w:ind w:firstLine="540"/>
        <w:jc w:val="both"/>
      </w:pPr>
      <w:r>
        <w:rPr>
          <w:sz w:val="20"/>
        </w:rPr>
        <w:t xml:space="preserve">2) необходимости направления письменного запроса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для уточнения информации и устранения противоречий в представленных документах, а также для установления и (или) подтверждения фактов, связанных с деятельностью получателя гранта, лиц, получающих средства на основании договоров, заключенных с получателем гранта (сличение записей, документов и данных с соответствующими записями, документами и данными получателя гранта, лиц, получающих средства на основании договоров, заключенных с получателем гранта).</w:t>
      </w:r>
    </w:p>
    <w:p>
      <w:pPr>
        <w:pStyle w:val="0"/>
        <w:spacing w:before="200" w:line-rule="auto"/>
        <w:ind w:firstLine="540"/>
        <w:jc w:val="both"/>
      </w:pPr>
      <w:r>
        <w:rPr>
          <w:sz w:val="20"/>
        </w:rPr>
        <w:t xml:space="preserve">При этом срок продления Проверки не может превышать 10 рабочих дней со дня, следующего за днем окончания срока проверки, установленного приказом.</w:t>
      </w:r>
    </w:p>
    <w:p>
      <w:pPr>
        <w:pStyle w:val="0"/>
        <w:spacing w:before="200" w:line-rule="auto"/>
        <w:ind w:firstLine="540"/>
        <w:jc w:val="both"/>
      </w:pPr>
      <w:r>
        <w:rPr>
          <w:sz w:val="20"/>
        </w:rPr>
        <w:t xml:space="preserve">Решение о продлении проведения Проверки оформляется приказом руководителя Уполномоченного органа. Копия решения о продлении проведения Проверки направляется в адрес получателя гранта, лиц, получающих средства на основании договоров, заключенных с получателем гранта, в срок не более трех рабочих дней со дня, следующего за днем принятия решения о продлении Проверки.</w:t>
      </w:r>
    </w:p>
    <w:p>
      <w:pPr>
        <w:pStyle w:val="0"/>
        <w:spacing w:before="200" w:line-rule="auto"/>
        <w:ind w:firstLine="540"/>
        <w:jc w:val="both"/>
      </w:pPr>
      <w:r>
        <w:rPr>
          <w:sz w:val="20"/>
        </w:rPr>
        <w:t xml:space="preserve">5.11. Непредставление получателем гранта, в отношении которого проводится Проверка документов и информации, или представления неполного комплекта требуемых документов и информации и (или) воспрепятствование или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гранта в областной бюджет в порядке, установленном </w:t>
      </w:r>
      <w:hyperlink w:history="0" w:anchor="P618" w:tooltip="5.16. Уполномоченный орган, в случаях, установленных абзацем первым пункта 5.13 и пунктом 5.15 настоящего Порядка, не позднее 14 рабочих дней со дня, следующего за днем составления акта проверки, по результатам которой выявлены нарушения, направляет субъекту МСП на юридический адрес уведомление о расторжении Соглашения в одностороннем порядке и возврате гранта в полном объеме.">
        <w:r>
          <w:rPr>
            <w:sz w:val="20"/>
            <w:color w:val="0000ff"/>
          </w:rPr>
          <w:t xml:space="preserve">пунктом 5.16</w:t>
        </w:r>
      </w:hyperlink>
      <w:r>
        <w:rPr>
          <w:sz w:val="20"/>
        </w:rPr>
        <w:t xml:space="preserve"> настоящего Порядка.</w:t>
      </w:r>
    </w:p>
    <w:p>
      <w:pPr>
        <w:pStyle w:val="0"/>
        <w:spacing w:before="200" w:line-rule="auto"/>
        <w:ind w:firstLine="540"/>
        <w:jc w:val="both"/>
      </w:pPr>
      <w:r>
        <w:rPr>
          <w:sz w:val="20"/>
        </w:rPr>
        <w:t xml:space="preserve">5.12. Результаты Проверки оформляются актом в срок, не превышающий 10 рабочих дней со дня окончания Проверки, установленного приказом. Акт Проверки подписывается руководителем контрольной группы и в течение трех рабочих дней со дня его подписания вручается (направляется) получателю гранта, лицу, получающему средства на основании договоров, заключенных с получателем гранта.</w:t>
      </w:r>
    </w:p>
    <w:p>
      <w:pPr>
        <w:pStyle w:val="0"/>
        <w:spacing w:before="200" w:line-rule="auto"/>
        <w:ind w:firstLine="540"/>
        <w:jc w:val="both"/>
      </w:pPr>
      <w:r>
        <w:rPr>
          <w:sz w:val="20"/>
        </w:rPr>
        <w:t xml:space="preserve">Получатель гранта, лицо, получающее средства на основании договоров, заключенных с получателем гранта, в течение 7 рабочих дней со дня вручения (направления) акта вправе представить письменные возражения (замечания) на акт Проверки. Письменные возражения (замечания) объекта контроля приобщаются к акту Проверки и являются его неотъемлемой частью. Отзыв руководителя и (или) участника контрольной группы по поступившим возражениям и замечаниям направляется объекту контроля в течение 7 рабочих дней со дня, следующего за днем получения возражений и замечаний.</w:t>
      </w:r>
    </w:p>
    <w:p>
      <w:pPr>
        <w:pStyle w:val="0"/>
        <w:jc w:val="both"/>
      </w:pPr>
      <w:r>
        <w:rPr>
          <w:sz w:val="20"/>
        </w:rPr>
        <w:t xml:space="preserve">(в ред. </w:t>
      </w:r>
      <w:hyperlink w:history="0" r:id="rId256"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611" w:name="P611"/>
    <w:bookmarkEnd w:id="611"/>
    <w:p>
      <w:pPr>
        <w:pStyle w:val="0"/>
        <w:spacing w:before="200" w:line-rule="auto"/>
        <w:ind w:firstLine="540"/>
        <w:jc w:val="both"/>
      </w:pPr>
      <w:r>
        <w:rPr>
          <w:sz w:val="20"/>
        </w:rPr>
        <w:t xml:space="preserve">5.13. В случае несоблюдения получателем гранта условий предоставления гранта, установленных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пунктами 3.7.1</w:t>
        </w:r>
      </w:hyperlink>
      <w:r>
        <w:rPr>
          <w:sz w:val="20"/>
        </w:rPr>
        <w:t xml:space="preserve"> - </w:t>
      </w:r>
      <w:hyperlink w:history="0" w:anchor="P458" w:tooltip="3.7.3. Грант предоставляется при условии наличия у получателя гранта собственных и (или) заемных средств для софинансирования расходов, связанных с реализацией проекта в сфере социального предпринимательства, или проекта в сфере предпринимательской деятельности в размере не менее 25% от размера расходов, предусмотренных на реализацию проекта в соответствии с планом расходования средств, представляемым в составе проекта в сфере социального предпринимательства (приложение N 2 к настоящему Порядку), или про...">
        <w:r>
          <w:rPr>
            <w:sz w:val="20"/>
            <w:color w:val="0000ff"/>
          </w:rPr>
          <w:t xml:space="preserve">3.7.3</w:t>
        </w:r>
      </w:hyperlink>
      <w:r>
        <w:rPr>
          <w:sz w:val="20"/>
        </w:rPr>
        <w:t xml:space="preserve">, </w:t>
      </w:r>
      <w:hyperlink w:history="0" w:anchor="P466" w:tooltip="3.7.5. Грант должен быть израсходован в течение года со дня, следующего за днем заключения Соглашения.">
        <w:r>
          <w:rPr>
            <w:sz w:val="20"/>
            <w:color w:val="0000ff"/>
          </w:rPr>
          <w:t xml:space="preserve">3.7.5</w:t>
        </w:r>
      </w:hyperlink>
      <w:r>
        <w:rPr>
          <w:sz w:val="20"/>
        </w:rPr>
        <w:t xml:space="preserve"> - </w:t>
      </w:r>
      <w:hyperlink w:history="0" w:anchor="P473" w:tooltip="3.7.8. Получатель гранта - молодой предприниматель обязуется ежегодно в течение 3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своей деятельности по форме согласно приложению N 7 к настоящему Порядку.">
        <w:r>
          <w:rPr>
            <w:sz w:val="20"/>
            <w:color w:val="0000ff"/>
          </w:rPr>
          <w:t xml:space="preserve">3.7.8</w:t>
        </w:r>
      </w:hyperlink>
      <w:r>
        <w:rPr>
          <w:sz w:val="20"/>
        </w:rPr>
        <w:t xml:space="preserve"> настоящего Порядка, а также обязательных условий Соглашения, установленных </w:t>
      </w:r>
      <w:hyperlink w:history="0" w:anchor="P480" w:tooltip="Обязательными условиями Соглашения являются:">
        <w:r>
          <w:rPr>
            <w:sz w:val="20"/>
            <w:color w:val="0000ff"/>
          </w:rPr>
          <w:t xml:space="preserve">абзацами пятым</w:t>
        </w:r>
      </w:hyperlink>
      <w:r>
        <w:rPr>
          <w:sz w:val="20"/>
        </w:rPr>
        <w:t xml:space="preserve"> - </w:t>
      </w:r>
      <w:hyperlink w:history="0" w:anchor="P494" w:tooltip="- обязательство получателя гранта осуществлять расходы в соответствии с проектом в сфере социального предпринимательства или проектом в сфере предпринимательской деятельности, представленным в соответствии с пунктом 2.7.1 настоящего Порядка.">
        <w:r>
          <w:rPr>
            <w:sz w:val="20"/>
            <w:color w:val="0000ff"/>
          </w:rPr>
          <w:t xml:space="preserve">тринадцатым пункта 3.8</w:t>
        </w:r>
      </w:hyperlink>
      <w:r>
        <w:rPr>
          <w:sz w:val="20"/>
        </w:rPr>
        <w:t xml:space="preserve"> настоящего Порядка, выявленных в том числе по итогам проверок, проведенных Уполномоченным органом и органом государственного финансового контроля, грант в полном объеме подлежит возврату в областной бюджет Тюменской области.</w:t>
      </w:r>
    </w:p>
    <w:p>
      <w:pPr>
        <w:pStyle w:val="0"/>
        <w:jc w:val="both"/>
      </w:pPr>
      <w:r>
        <w:rPr>
          <w:sz w:val="20"/>
        </w:rPr>
        <w:t xml:space="preserve">(в ред. постановлений Правительства Тюменской области от 20.06.2022 </w:t>
      </w:r>
      <w:hyperlink w:history="0" r:id="rId25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rPr>
        <w:t xml:space="preserve">, от 09.10.2023 </w:t>
      </w:r>
      <w:hyperlink w:history="0" r:id="rId258"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rPr>
        <w:t xml:space="preserve">)</w:t>
      </w:r>
    </w:p>
    <w:bookmarkStart w:id="613" w:name="P613"/>
    <w:bookmarkEnd w:id="613"/>
    <w:p>
      <w:pPr>
        <w:pStyle w:val="0"/>
        <w:spacing w:before="200" w:line-rule="auto"/>
        <w:ind w:firstLine="540"/>
        <w:jc w:val="both"/>
      </w:pPr>
      <w:r>
        <w:rPr>
          <w:sz w:val="20"/>
        </w:rPr>
        <w:t xml:space="preserve">В случае полного или частичного неиспользования получателем гранта средств гранта, направленных на финансовое обеспечение расходов, указанных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пунктах 3.7.1</w:t>
        </w:r>
      </w:hyperlink>
      <w:r>
        <w:rPr>
          <w:sz w:val="20"/>
        </w:rPr>
        <w:t xml:space="preserve">, </w:t>
      </w:r>
      <w:hyperlink w:history="0" w:anchor="P456" w:tooltip="3.7.2. Дополнительно к расходам, указанным в пункте 3.7.1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
        <w:r>
          <w:rPr>
            <w:sz w:val="20"/>
            <w:color w:val="0000ff"/>
          </w:rPr>
          <w:t xml:space="preserve">3.7.2</w:t>
        </w:r>
      </w:hyperlink>
      <w:r>
        <w:rPr>
          <w:sz w:val="20"/>
        </w:rPr>
        <w:t xml:space="preserve"> настоящего Порядка, связанных с реализацией проекта в сфере социального предпринимательства или проекта в сфере предпринимательской деятельности, полученные средства гранта в срок до 20 числа месяца, следующего за последним месяцем периода, определенного </w:t>
      </w:r>
      <w:hyperlink w:history="0" w:anchor="P466" w:tooltip="3.7.5. Грант должен быть израсходован в течение года со дня, следующего за днем заключения Соглашения.">
        <w:r>
          <w:rPr>
            <w:sz w:val="20"/>
            <w:color w:val="0000ff"/>
          </w:rPr>
          <w:t xml:space="preserve">пунктом 3.7.5</w:t>
        </w:r>
      </w:hyperlink>
      <w:r>
        <w:rPr>
          <w:sz w:val="20"/>
        </w:rPr>
        <w:t xml:space="preserve"> настоящего Порядка, подлежат возврату получателем гранта в областной бюджет в части их неиспользованного остатка.</w:t>
      </w:r>
    </w:p>
    <w:p>
      <w:pPr>
        <w:pStyle w:val="0"/>
        <w:jc w:val="both"/>
      </w:pPr>
      <w:r>
        <w:rPr>
          <w:sz w:val="20"/>
        </w:rPr>
        <w:t xml:space="preserve">(абзац введен </w:t>
      </w:r>
      <w:hyperlink w:history="0" r:id="rId25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5.14. Лицо, получающее средства на основании договоров, заключенных с получателем гранта, несет ответственность в соответствии с действующим законодательством Российской Федерации.</w:t>
      </w:r>
    </w:p>
    <w:bookmarkStart w:id="616" w:name="P616"/>
    <w:bookmarkEnd w:id="616"/>
    <w:p>
      <w:pPr>
        <w:pStyle w:val="0"/>
        <w:spacing w:before="200" w:line-rule="auto"/>
        <w:ind w:firstLine="540"/>
        <w:jc w:val="both"/>
      </w:pPr>
      <w:r>
        <w:rPr>
          <w:sz w:val="20"/>
        </w:rPr>
        <w:t xml:space="preserve">5.15. В случае недостижения значения результата предоставления гранта, предусмотренного </w:t>
      </w:r>
      <w:hyperlink w:history="0" w:anchor="P500" w:tooltip="3.11. Результатом предоставления гранта является реализация получателем гранта заявленного на участие в конкурсном отборе проекта в пределах затрат, указанных в пунктах 3.7.1, 3.7.2 настоящего Порядка.">
        <w:r>
          <w:rPr>
            <w:sz w:val="20"/>
            <w:color w:val="0000ff"/>
          </w:rPr>
          <w:t xml:space="preserve">пунктом 3.11</w:t>
        </w:r>
      </w:hyperlink>
      <w:r>
        <w:rPr>
          <w:sz w:val="20"/>
        </w:rPr>
        <w:t xml:space="preserve"> настоящего Порядка, грант в полном объеме подлежит возврату в областной бюджет Тюменской области.</w:t>
      </w:r>
    </w:p>
    <w:p>
      <w:pPr>
        <w:pStyle w:val="0"/>
        <w:jc w:val="both"/>
      </w:pPr>
      <w:r>
        <w:rPr>
          <w:sz w:val="20"/>
        </w:rPr>
        <w:t xml:space="preserve">(в ред. </w:t>
      </w:r>
      <w:hyperlink w:history="0" r:id="rId26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bookmarkStart w:id="618" w:name="P618"/>
    <w:bookmarkEnd w:id="618"/>
    <w:p>
      <w:pPr>
        <w:pStyle w:val="0"/>
        <w:spacing w:before="200" w:line-rule="auto"/>
        <w:ind w:firstLine="540"/>
        <w:jc w:val="both"/>
      </w:pPr>
      <w:r>
        <w:rPr>
          <w:sz w:val="20"/>
        </w:rPr>
        <w:t xml:space="preserve">5.16. Уполномоченный орган, в случаях, установленных </w:t>
      </w:r>
      <w:hyperlink w:history="0" w:anchor="P611" w:tooltip="5.13. В случае несоблюдения получателем гранта условий предоставления гранта, установленных пунктами 3.7.1 - 3.7.3, 3.7.5 - 3.7.8 настоящего Порядка, а также обязательных условий Соглашения, установленных абзацами пятым - тринадцатым пункта 3.8 настоящего Порядка, выявленных в том числе по итогам проверок, проведенных Уполномоченным органом и органом государственного финансового контроля, грант в полном объеме подлежит возврату в областной бюджет Тюменской области.">
        <w:r>
          <w:rPr>
            <w:sz w:val="20"/>
            <w:color w:val="0000ff"/>
          </w:rPr>
          <w:t xml:space="preserve">абзацем первым пункта 5.13</w:t>
        </w:r>
      </w:hyperlink>
      <w:r>
        <w:rPr>
          <w:sz w:val="20"/>
        </w:rPr>
        <w:t xml:space="preserve"> и </w:t>
      </w:r>
      <w:hyperlink w:history="0" w:anchor="P616" w:tooltip="5.15. В случае недостижения значения результата предоставления гранта, предусмотренного пунктом 3.11 настоящего Порядка, грант в полном объеме подлежит возврату в областной бюджет Тюменской области.">
        <w:r>
          <w:rPr>
            <w:sz w:val="20"/>
            <w:color w:val="0000ff"/>
          </w:rPr>
          <w:t xml:space="preserve">пунктом 5.15</w:t>
        </w:r>
      </w:hyperlink>
      <w:r>
        <w:rPr>
          <w:sz w:val="20"/>
        </w:rPr>
        <w:t xml:space="preserve"> настоящего Порядка, не позднее 14 рабочих дней со дня, следующего за днем составления акта проверки, по результатам которой выявлены нарушения, направляет субъекту МСП на юридический адрес уведомление о расторжении Соглашения в одностороннем порядке и возврате гранта в полном объеме.</w:t>
      </w:r>
    </w:p>
    <w:p>
      <w:pPr>
        <w:pStyle w:val="0"/>
        <w:jc w:val="both"/>
      </w:pPr>
      <w:r>
        <w:rPr>
          <w:sz w:val="20"/>
        </w:rPr>
        <w:t xml:space="preserve">(в ред. </w:t>
      </w:r>
      <w:hyperlink w:history="0" r:id="rId26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В случаях, установленных </w:t>
      </w:r>
      <w:hyperlink w:history="0" w:anchor="P613" w:tooltip="В случае полного или частичного неиспользования получателем гранта средств гранта, направленных на финансовое обеспечение расходов, указанных в пунктах 3.7.1, 3.7.2 настоящего Порядка, связанных с реализацией проекта в сфере социального предпринимательства или проекта в сфере предпринимательской деятельности, полученные средства гранта в срок до 20 числа месяца, следующего за последним месяцем периода, определенного пунктом 3.7.5 настоящего Порядка, подлежат возврату получателем гранта в областной бюджет...">
        <w:r>
          <w:rPr>
            <w:sz w:val="20"/>
            <w:color w:val="0000ff"/>
          </w:rPr>
          <w:t xml:space="preserve">абзацем вторым пункта 5.13</w:t>
        </w:r>
      </w:hyperlink>
      <w:r>
        <w:rPr>
          <w:sz w:val="20"/>
        </w:rPr>
        <w:t xml:space="preserve"> настоящего Порядка, Уполномоченный орган не позднее 10 рабочих дней со дня, следующего за днем составления акта проверки, по результатам которой выявлены нарушения, направляет на юридический адрес субъекта МСП уведомление о расторжении Соглашения в одностороннем порядке и возврате остатков неиспользованных средств гранта.</w:t>
      </w:r>
    </w:p>
    <w:p>
      <w:pPr>
        <w:pStyle w:val="0"/>
        <w:jc w:val="both"/>
      </w:pPr>
      <w:r>
        <w:rPr>
          <w:sz w:val="20"/>
        </w:rPr>
        <w:t xml:space="preserve">(абзац введен </w:t>
      </w:r>
      <w:hyperlink w:history="0" r:id="rId262"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постановлением</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Указанные уведомления направляются заказным письмом с уведомлением о вручении.</w:t>
      </w:r>
    </w:p>
    <w:p>
      <w:pPr>
        <w:pStyle w:val="0"/>
        <w:jc w:val="both"/>
      </w:pPr>
      <w:r>
        <w:rPr>
          <w:sz w:val="20"/>
        </w:rPr>
        <w:t xml:space="preserve">(в ред. </w:t>
      </w:r>
      <w:hyperlink w:history="0" r:id="rId263"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Получатель гранта в течение 20 календарных дней со дня получения уведомления о возврате гранта производит возврат гранта (остатка неиспользованного гранта) в областной бюджет по платежным реквизитам, указанным в уведомлении о возврате гранта.</w:t>
      </w:r>
    </w:p>
    <w:p>
      <w:pPr>
        <w:pStyle w:val="0"/>
        <w:jc w:val="both"/>
      </w:pPr>
      <w:r>
        <w:rPr>
          <w:sz w:val="20"/>
        </w:rPr>
        <w:t xml:space="preserve">(в ред. </w:t>
      </w:r>
      <w:hyperlink w:history="0" r:id="rId264"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постановления</w:t>
        </w:r>
      </w:hyperlink>
      <w:r>
        <w:rPr>
          <w:sz w:val="20"/>
        </w:rPr>
        <w:t xml:space="preserve"> Правительства Тюменской области от 09.10.2023 N 653-п)</w:t>
      </w:r>
    </w:p>
    <w:p>
      <w:pPr>
        <w:pStyle w:val="0"/>
        <w:spacing w:before="200" w:line-rule="auto"/>
        <w:ind w:firstLine="540"/>
        <w:jc w:val="both"/>
      </w:pPr>
      <w:r>
        <w:rPr>
          <w:sz w:val="20"/>
        </w:rPr>
        <w:t xml:space="preserve">В случае невозврата гранта взыскание средств производится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соответствии с </w:t>
      </w:r>
      <w:hyperlink w:history="0" r:id="rId26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частью 5 статьи 14</w:t>
        </w:r>
      </w:hyperlink>
      <w:r>
        <w:rPr>
          <w:sz w:val="20"/>
        </w:rPr>
        <w:t xml:space="preserve"> Федерального закона N 209-ФЗ с даты признания субъекта предпринимательства допустившим нарушение порядка и условий оказания поддержки он теряет право на получение в дальнейшем государственной поддержки сроком на три года.</w:t>
      </w:r>
    </w:p>
    <w:p>
      <w:pPr>
        <w:pStyle w:val="0"/>
        <w:spacing w:before="200" w:line-rule="auto"/>
        <w:ind w:firstLine="540"/>
        <w:jc w:val="both"/>
      </w:pPr>
      <w:r>
        <w:rPr>
          <w:sz w:val="20"/>
        </w:rPr>
        <w:t xml:space="preserve">5.17. Должностные лица уполномоченного органа, осуществляющие Проверку, имеют право:</w:t>
      </w:r>
    </w:p>
    <w:p>
      <w:pPr>
        <w:pStyle w:val="0"/>
        <w:spacing w:before="200" w:line-rule="auto"/>
        <w:ind w:firstLine="540"/>
        <w:jc w:val="both"/>
      </w:pPr>
      <w:r>
        <w:rPr>
          <w:sz w:val="20"/>
        </w:rPr>
        <w:t xml:space="preserve">1) при проведении Проверок беспрепятственно по предъявлении копии приказа о проведении Проверки посещать территорию и помещения, которые занимают получатели гранта, лица, получающие средства на основании договоров, заключенных с получателем гранта, в отношении которых осуществляется проверка, требовать предъявления поставленных товарно-материальных ценностей, результатов выполненных работ, услуг;</w:t>
      </w:r>
    </w:p>
    <w:p>
      <w:pPr>
        <w:pStyle w:val="0"/>
        <w:spacing w:before="200" w:line-rule="auto"/>
        <w:ind w:firstLine="540"/>
        <w:jc w:val="both"/>
      </w:pPr>
      <w:r>
        <w:rPr>
          <w:sz w:val="20"/>
        </w:rPr>
        <w:t xml:space="preserve">2) знакомиться с документами и материалами (как на бумажном носителе, так и хранящимися в электронной форме в базах данных получателя гранта), относящимися к предмету Проверки;</w:t>
      </w:r>
    </w:p>
    <w:p>
      <w:pPr>
        <w:pStyle w:val="0"/>
        <w:spacing w:before="200" w:line-rule="auto"/>
        <w:ind w:firstLine="540"/>
        <w:jc w:val="both"/>
      </w:pPr>
      <w:r>
        <w:rPr>
          <w:sz w:val="20"/>
        </w:rPr>
        <w:t xml:space="preserve">3) в пределах своей компетенции запрашивать от руководителей и других должностных лиц получателя гранта, лица, получающего средства на основании договоров, заключенных с получателем гранта,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4)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pPr>
        <w:pStyle w:val="0"/>
        <w:spacing w:before="200" w:line-rule="auto"/>
        <w:ind w:firstLine="540"/>
        <w:jc w:val="both"/>
      </w:pPr>
      <w:hyperlink w:history="0" r:id="rId266"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5.18</w:t>
        </w:r>
      </w:hyperlink>
      <w:r>
        <w:rPr>
          <w:sz w:val="20"/>
        </w:rPr>
        <w:t xml:space="preserve">. Должностные лица уполномоченного органа обязаны:</w:t>
      </w:r>
    </w:p>
    <w:p>
      <w:pPr>
        <w:pStyle w:val="0"/>
        <w:spacing w:before="200" w:line-rule="auto"/>
        <w:ind w:firstLine="540"/>
        <w:jc w:val="both"/>
      </w:pPr>
      <w:r>
        <w:rPr>
          <w:sz w:val="2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2) 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3) уведомлять руководителя или уполномоченное должностное лицо получателя гранта, лица, получающего средства на основании договоров, заключенных с получателем гранта, о проведении контрольного мероприятия, о продлении контрольного мероприятия, а также направлять (вручать) результаты контрольных мероприятий (акты);</w:t>
      </w:r>
    </w:p>
    <w:p>
      <w:pPr>
        <w:pStyle w:val="0"/>
        <w:spacing w:before="200" w:line-rule="auto"/>
        <w:ind w:firstLine="540"/>
        <w:jc w:val="both"/>
      </w:pPr>
      <w:r>
        <w:rPr>
          <w:sz w:val="20"/>
        </w:rPr>
        <w:t xml:space="preserve">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5) 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hyperlink w:history="0" r:id="rId267"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5.19</w:t>
        </w:r>
      </w:hyperlink>
      <w:r>
        <w:rPr>
          <w:sz w:val="20"/>
        </w:rPr>
        <w:t xml:space="preserve">. 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hyperlink w:history="0" r:id="rId268" w:tooltip="Постановление Правительства Тюменской области от 10.12.2021 N 816-п (ред. от 09.10.2023) &quot;О внесении изменений в постановление от 10.09.2021 N 565-п&quot; {КонсультантПлюс}">
        <w:r>
          <w:rPr>
            <w:sz w:val="20"/>
            <w:color w:val="0000ff"/>
          </w:rPr>
          <w:t xml:space="preserve">5.20</w:t>
        </w:r>
      </w:hyperlink>
      <w:r>
        <w:rPr>
          <w:sz w:val="20"/>
        </w:rPr>
        <w:t xml:space="preserve">. Должностные лица, осуществляющие Проверки, не вправе вмешиваться в оперативно-хозяйственную деятельность проверяемых получателей гранта, лиц, получающих средства на основании договоров, заключенных с получателем гранта, а также разглашать информацию, полученную при проведении Проверки, предавать гласности свои выводы до завершения проверки и составления соответствующих актов и заключений.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w:t>
      </w:r>
    </w:p>
    <w:p>
      <w:pPr>
        <w:pStyle w:val="0"/>
        <w:jc w:val="right"/>
      </w:pPr>
      <w:r>
        <w:rPr>
          <w:sz w:val="20"/>
        </w:rPr>
        <w:t xml:space="preserve">малого и среднего предпринимательства, созданным</w:t>
      </w:r>
    </w:p>
    <w:p>
      <w:pPr>
        <w:pStyle w:val="0"/>
        <w:jc w:val="right"/>
      </w:pPr>
      <w:r>
        <w:rPr>
          <w:sz w:val="20"/>
        </w:rPr>
        <w:t xml:space="preserve">физическими 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20.06.2022 </w:t>
            </w:r>
            <w:hyperlink w:history="0" r:id="rId269"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color w:val="392c69"/>
              </w:rPr>
              <w:t xml:space="preserve">,</w:t>
            </w:r>
          </w:p>
          <w:p>
            <w:pPr>
              <w:pStyle w:val="0"/>
              <w:jc w:val="center"/>
            </w:pPr>
            <w:r>
              <w:rPr>
                <w:sz w:val="20"/>
                <w:color w:val="392c69"/>
              </w:rPr>
              <w:t xml:space="preserve">от 20.12.2022 </w:t>
            </w:r>
            <w:hyperlink w:history="0" r:id="rId270"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 от 09.10.2023 </w:t>
            </w:r>
            <w:hyperlink w:history="0" r:id="rId271"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Генеральному директору</w:t>
      </w:r>
    </w:p>
    <w:p>
      <w:pPr>
        <w:pStyle w:val="0"/>
        <w:jc w:val="right"/>
      </w:pPr>
      <w:r>
        <w:rPr>
          <w:sz w:val="20"/>
        </w:rPr>
        <w:t xml:space="preserve">Фонда "Инвестиционное агентство</w:t>
      </w:r>
    </w:p>
    <w:p>
      <w:pPr>
        <w:pStyle w:val="0"/>
        <w:jc w:val="right"/>
      </w:pPr>
      <w:r>
        <w:rPr>
          <w:sz w:val="20"/>
        </w:rPr>
        <w:t xml:space="preserve">Тюменской области"</w:t>
      </w:r>
    </w:p>
    <w:p>
      <w:pPr>
        <w:pStyle w:val="0"/>
        <w:jc w:val="both"/>
      </w:pPr>
      <w:r>
        <w:rPr>
          <w:sz w:val="20"/>
        </w:rPr>
      </w:r>
    </w:p>
    <w:bookmarkStart w:id="661" w:name="P661"/>
    <w:bookmarkEnd w:id="661"/>
    <w:p>
      <w:pPr>
        <w:pStyle w:val="0"/>
        <w:jc w:val="center"/>
      </w:pPr>
      <w:r>
        <w:rPr>
          <w:sz w:val="20"/>
        </w:rPr>
        <w:t xml:space="preserve">ЗАЯВКА</w:t>
      </w:r>
    </w:p>
    <w:p>
      <w:pPr>
        <w:pStyle w:val="0"/>
        <w:jc w:val="center"/>
      </w:pPr>
      <w:r>
        <w:rPr>
          <w:sz w:val="20"/>
        </w:rPr>
        <w:t xml:space="preserve">на участие в конкурсном отборе </w:t>
      </w:r>
      <w:hyperlink w:history="0" w:anchor="P751" w:tooltip="&lt;1&gt; Все поля подлежат обязательному заполнению.">
        <w:r>
          <w:rPr>
            <w:sz w:val="20"/>
            <w:color w:val="0000ff"/>
          </w:rPr>
          <w:t xml:space="preserve">&lt;1&gt;</w:t>
        </w:r>
      </w:hyperlink>
    </w:p>
    <w:p>
      <w:pPr>
        <w:pStyle w:val="0"/>
        <w:jc w:val="both"/>
      </w:pPr>
      <w:r>
        <w:rPr>
          <w:sz w:val="20"/>
        </w:rPr>
      </w:r>
    </w:p>
    <w:p>
      <w:pPr>
        <w:pStyle w:val="0"/>
        <w:ind w:firstLine="540"/>
        <w:jc w:val="both"/>
      </w:pPr>
      <w:r>
        <w:rPr>
          <w:sz w:val="20"/>
        </w:rPr>
        <w:t xml:space="preserve">Прошу включить меня в состав участников конкурсного отбора на предоставление гранта субъектам малого и среднего предпринимательства</w:t>
      </w:r>
    </w:p>
    <w:p>
      <w:pPr>
        <w:pStyle w:val="0"/>
        <w:spacing w:before="200" w:line-rule="auto"/>
        <w:ind w:firstLine="540"/>
        <w:jc w:val="both"/>
      </w:pPr>
      <w:r>
        <w:rPr>
          <w:sz w:val="20"/>
        </w:rPr>
        <w:t xml:space="preserve">Сумма запрашиваемого гранта составляет ___________________ (______________________)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3"/>
        <w:gridCol w:w="5327"/>
        <w:gridCol w:w="2891"/>
      </w:tblGrid>
      <w:tr>
        <w:tc>
          <w:tcPr>
            <w:tcW w:w="853" w:type="dxa"/>
          </w:tcPr>
          <w:p>
            <w:pPr>
              <w:pStyle w:val="0"/>
              <w:jc w:val="center"/>
            </w:pPr>
            <w:r>
              <w:rPr>
                <w:sz w:val="20"/>
              </w:rPr>
              <w:t xml:space="preserve">N</w:t>
            </w:r>
          </w:p>
        </w:tc>
        <w:tc>
          <w:tcPr>
            <w:tcW w:w="5327" w:type="dxa"/>
          </w:tcPr>
          <w:p>
            <w:pPr>
              <w:pStyle w:val="0"/>
              <w:jc w:val="center"/>
            </w:pPr>
            <w:r>
              <w:rPr>
                <w:sz w:val="20"/>
              </w:rPr>
              <w:t xml:space="preserve">1</w:t>
            </w:r>
          </w:p>
        </w:tc>
        <w:tc>
          <w:tcPr>
            <w:tcW w:w="2891" w:type="dxa"/>
          </w:tcPr>
          <w:p>
            <w:pPr>
              <w:pStyle w:val="0"/>
              <w:jc w:val="center"/>
            </w:pPr>
            <w:r>
              <w:rPr>
                <w:sz w:val="20"/>
              </w:rPr>
              <w:t xml:space="preserve">2</w:t>
            </w:r>
          </w:p>
        </w:tc>
      </w:tr>
      <w:tr>
        <w:tc>
          <w:tcPr>
            <w:tcW w:w="853" w:type="dxa"/>
          </w:tcPr>
          <w:p>
            <w:pPr>
              <w:pStyle w:val="0"/>
              <w:jc w:val="center"/>
            </w:pPr>
            <w:r>
              <w:rPr>
                <w:sz w:val="20"/>
              </w:rPr>
              <w:t xml:space="preserve">1.</w:t>
            </w:r>
          </w:p>
        </w:tc>
        <w:tc>
          <w:tcPr>
            <w:tcW w:w="5327" w:type="dxa"/>
          </w:tcPr>
          <w:p>
            <w:pPr>
              <w:pStyle w:val="0"/>
              <w:jc w:val="both"/>
            </w:pPr>
            <w:r>
              <w:rPr>
                <w:sz w:val="20"/>
              </w:rPr>
              <w:t xml:space="preserve">Наименование субъекта малого и среднего предпринимательства (полное и сокращенное наименование)</w:t>
            </w:r>
          </w:p>
        </w:tc>
        <w:tc>
          <w:tcPr>
            <w:tcW w:w="2891" w:type="dxa"/>
          </w:tcPr>
          <w:p>
            <w:pPr>
              <w:pStyle w:val="0"/>
            </w:pPr>
            <w:r>
              <w:rPr>
                <w:sz w:val="20"/>
              </w:rPr>
            </w:r>
          </w:p>
        </w:tc>
      </w:tr>
      <w:tr>
        <w:tc>
          <w:tcPr>
            <w:tcW w:w="853" w:type="dxa"/>
          </w:tcPr>
          <w:p>
            <w:pPr>
              <w:pStyle w:val="0"/>
              <w:jc w:val="center"/>
            </w:pPr>
            <w:r>
              <w:rPr>
                <w:sz w:val="20"/>
              </w:rPr>
              <w:t xml:space="preserve">2.</w:t>
            </w:r>
          </w:p>
        </w:tc>
        <w:tc>
          <w:tcPr>
            <w:tcW w:w="5327" w:type="dxa"/>
          </w:tcPr>
          <w:p>
            <w:pPr>
              <w:pStyle w:val="0"/>
            </w:pPr>
            <w:r>
              <w:rPr>
                <w:sz w:val="20"/>
              </w:rPr>
              <w:t xml:space="preserve">Юридический адрес</w:t>
            </w:r>
          </w:p>
        </w:tc>
        <w:tc>
          <w:tcPr>
            <w:tcW w:w="2891" w:type="dxa"/>
          </w:tcPr>
          <w:p>
            <w:pPr>
              <w:pStyle w:val="0"/>
            </w:pPr>
            <w:r>
              <w:rPr>
                <w:sz w:val="20"/>
              </w:rPr>
            </w:r>
          </w:p>
        </w:tc>
      </w:tr>
      <w:tr>
        <w:tc>
          <w:tcPr>
            <w:tcW w:w="853" w:type="dxa"/>
          </w:tcPr>
          <w:p>
            <w:pPr>
              <w:pStyle w:val="0"/>
              <w:jc w:val="center"/>
            </w:pPr>
            <w:r>
              <w:rPr>
                <w:sz w:val="20"/>
              </w:rPr>
              <w:t xml:space="preserve">3.</w:t>
            </w:r>
          </w:p>
        </w:tc>
        <w:tc>
          <w:tcPr>
            <w:tcW w:w="5327" w:type="dxa"/>
          </w:tcPr>
          <w:p>
            <w:pPr>
              <w:pStyle w:val="0"/>
            </w:pPr>
            <w:r>
              <w:rPr>
                <w:sz w:val="20"/>
              </w:rPr>
              <w:t xml:space="preserve">ИНН</w:t>
            </w:r>
          </w:p>
        </w:tc>
        <w:tc>
          <w:tcPr>
            <w:tcW w:w="2891" w:type="dxa"/>
          </w:tcPr>
          <w:p>
            <w:pPr>
              <w:pStyle w:val="0"/>
            </w:pPr>
            <w:r>
              <w:rPr>
                <w:sz w:val="20"/>
              </w:rPr>
            </w:r>
          </w:p>
        </w:tc>
      </w:tr>
      <w:tr>
        <w:tc>
          <w:tcPr>
            <w:tcW w:w="853" w:type="dxa"/>
            <w:vMerge w:val="restart"/>
          </w:tcPr>
          <w:bookmarkStart w:id="679" w:name="P679"/>
          <w:bookmarkEnd w:id="679"/>
          <w:p>
            <w:pPr>
              <w:pStyle w:val="0"/>
              <w:jc w:val="center"/>
            </w:pPr>
            <w:r>
              <w:rPr>
                <w:sz w:val="20"/>
              </w:rPr>
              <w:t xml:space="preserve">4.</w:t>
            </w:r>
          </w:p>
        </w:tc>
        <w:tc>
          <w:tcPr>
            <w:tcW w:w="5327" w:type="dxa"/>
          </w:tcPr>
          <w:p>
            <w:pPr>
              <w:pStyle w:val="0"/>
            </w:pPr>
            <w:r>
              <w:rPr>
                <w:sz w:val="20"/>
              </w:rPr>
              <w:t xml:space="preserve">Контактные данные:</w:t>
            </w:r>
          </w:p>
        </w:tc>
        <w:tc>
          <w:tcPr>
            <w:tcW w:w="2891" w:type="dxa"/>
          </w:tcPr>
          <w:p>
            <w:pPr>
              <w:pStyle w:val="0"/>
            </w:pPr>
            <w:r>
              <w:rPr>
                <w:sz w:val="20"/>
              </w:rPr>
            </w:r>
          </w:p>
        </w:tc>
      </w:tr>
      <w:tr>
        <w:tc>
          <w:tcPr>
            <w:vMerge w:val="continue"/>
          </w:tcPr>
          <w:p/>
        </w:tc>
        <w:tc>
          <w:tcPr>
            <w:tcW w:w="5327" w:type="dxa"/>
          </w:tcPr>
          <w:p>
            <w:pPr>
              <w:pStyle w:val="0"/>
            </w:pPr>
            <w:r>
              <w:rPr>
                <w:sz w:val="20"/>
              </w:rPr>
              <w:t xml:space="preserve">1. Номер телефона</w:t>
            </w:r>
          </w:p>
        </w:tc>
        <w:tc>
          <w:tcPr>
            <w:tcW w:w="2891" w:type="dxa"/>
          </w:tcPr>
          <w:p>
            <w:pPr>
              <w:pStyle w:val="0"/>
            </w:pPr>
            <w:r>
              <w:rPr>
                <w:sz w:val="20"/>
              </w:rPr>
            </w:r>
          </w:p>
        </w:tc>
      </w:tr>
      <w:tr>
        <w:tc>
          <w:tcPr>
            <w:vMerge w:val="continue"/>
          </w:tcPr>
          <w:p/>
        </w:tc>
        <w:tc>
          <w:tcPr>
            <w:tcW w:w="5327" w:type="dxa"/>
          </w:tcPr>
          <w:p>
            <w:pPr>
              <w:pStyle w:val="0"/>
              <w:jc w:val="both"/>
            </w:pPr>
            <w:r>
              <w:rPr>
                <w:sz w:val="20"/>
              </w:rPr>
              <w:t xml:space="preserve">2. Адрес электронной почты</w:t>
            </w:r>
          </w:p>
        </w:tc>
        <w:tc>
          <w:tcPr>
            <w:tcW w:w="2891" w:type="dxa"/>
          </w:tcPr>
          <w:p>
            <w:pPr>
              <w:pStyle w:val="0"/>
            </w:pPr>
            <w:r>
              <w:rPr>
                <w:sz w:val="20"/>
              </w:rPr>
            </w:r>
          </w:p>
        </w:tc>
      </w:tr>
      <w:tr>
        <w:tc>
          <w:tcPr>
            <w:vMerge w:val="continue"/>
          </w:tcPr>
          <w:p/>
        </w:tc>
        <w:tc>
          <w:tcPr>
            <w:tcW w:w="5327" w:type="dxa"/>
          </w:tcPr>
          <w:p>
            <w:pPr>
              <w:pStyle w:val="0"/>
              <w:jc w:val="both"/>
            </w:pPr>
            <w:r>
              <w:rPr>
                <w:sz w:val="20"/>
              </w:rPr>
              <w:t xml:space="preserve">3. Официальный сайт (при наличии)</w:t>
            </w:r>
          </w:p>
        </w:tc>
        <w:tc>
          <w:tcPr>
            <w:tcW w:w="2891" w:type="dxa"/>
          </w:tcPr>
          <w:p>
            <w:pPr>
              <w:pStyle w:val="0"/>
            </w:pPr>
            <w:r>
              <w:rPr>
                <w:sz w:val="20"/>
              </w:rPr>
            </w:r>
          </w:p>
        </w:tc>
      </w:tr>
      <w:tr>
        <w:tc>
          <w:tcPr>
            <w:tcW w:w="853" w:type="dxa"/>
          </w:tcPr>
          <w:p>
            <w:pPr>
              <w:pStyle w:val="0"/>
              <w:jc w:val="center"/>
            </w:pPr>
            <w:r>
              <w:rPr>
                <w:sz w:val="20"/>
              </w:rPr>
              <w:t xml:space="preserve">5.</w:t>
            </w:r>
          </w:p>
        </w:tc>
        <w:tc>
          <w:tcPr>
            <w:tcW w:w="5327" w:type="dxa"/>
          </w:tcPr>
          <w:p>
            <w:pPr>
              <w:pStyle w:val="0"/>
              <w:jc w:val="both"/>
            </w:pPr>
            <w:r>
              <w:rPr>
                <w:sz w:val="20"/>
              </w:rPr>
              <w:t xml:space="preserve">Руководитель организации / индивидуальный предприниматель (Ф.И.О., должность, телефон)</w:t>
            </w:r>
          </w:p>
        </w:tc>
        <w:tc>
          <w:tcPr>
            <w:tcW w:w="2891" w:type="dxa"/>
          </w:tcPr>
          <w:p>
            <w:pPr>
              <w:pStyle w:val="0"/>
            </w:pPr>
            <w:r>
              <w:rPr>
                <w:sz w:val="20"/>
              </w:rPr>
            </w:r>
          </w:p>
        </w:tc>
      </w:tr>
      <w:tr>
        <w:tc>
          <w:tcPr>
            <w:tcW w:w="853" w:type="dxa"/>
          </w:tcPr>
          <w:p>
            <w:pPr>
              <w:pStyle w:val="0"/>
              <w:jc w:val="center"/>
            </w:pPr>
            <w:r>
              <w:rPr>
                <w:sz w:val="20"/>
              </w:rPr>
              <w:t xml:space="preserve">6.</w:t>
            </w:r>
          </w:p>
        </w:tc>
        <w:tc>
          <w:tcPr>
            <w:tcW w:w="5327" w:type="dxa"/>
          </w:tcPr>
          <w:p>
            <w:pPr>
              <w:pStyle w:val="0"/>
              <w:jc w:val="both"/>
            </w:pPr>
            <w:r>
              <w:rPr>
                <w:sz w:val="20"/>
              </w:rPr>
              <w:t xml:space="preserve">Финансовый директор / главный бухгалтер (Ф.И.О., телефон)</w:t>
            </w:r>
          </w:p>
        </w:tc>
        <w:tc>
          <w:tcPr>
            <w:tcW w:w="2891" w:type="dxa"/>
          </w:tcPr>
          <w:p>
            <w:pPr>
              <w:pStyle w:val="0"/>
            </w:pPr>
            <w:r>
              <w:rPr>
                <w:sz w:val="20"/>
              </w:rPr>
            </w:r>
          </w:p>
        </w:tc>
      </w:tr>
      <w:tr>
        <w:tc>
          <w:tcPr>
            <w:tcW w:w="853" w:type="dxa"/>
          </w:tcPr>
          <w:p>
            <w:pPr>
              <w:pStyle w:val="0"/>
              <w:jc w:val="center"/>
            </w:pPr>
            <w:r>
              <w:rPr>
                <w:sz w:val="20"/>
              </w:rPr>
              <w:t xml:space="preserve">7.</w:t>
            </w:r>
          </w:p>
        </w:tc>
        <w:tc>
          <w:tcPr>
            <w:tcW w:w="5327" w:type="dxa"/>
          </w:tcPr>
          <w:p>
            <w:pPr>
              <w:pStyle w:val="0"/>
              <w:jc w:val="both"/>
            </w:pPr>
            <w:r>
              <w:rPr>
                <w:sz w:val="20"/>
              </w:rPr>
              <w:t xml:space="preserve">Ответственное лицо за данный проект (Ф.И.О., телефон)</w:t>
            </w:r>
          </w:p>
        </w:tc>
        <w:tc>
          <w:tcPr>
            <w:tcW w:w="2891" w:type="dxa"/>
          </w:tcPr>
          <w:p>
            <w:pPr>
              <w:pStyle w:val="0"/>
            </w:pPr>
            <w:r>
              <w:rPr>
                <w:sz w:val="20"/>
              </w:rPr>
            </w:r>
          </w:p>
        </w:tc>
      </w:tr>
      <w:tr>
        <w:tc>
          <w:tcPr>
            <w:tcW w:w="853" w:type="dxa"/>
            <w:vMerge w:val="restart"/>
          </w:tcPr>
          <w:p>
            <w:pPr>
              <w:pStyle w:val="0"/>
              <w:jc w:val="center"/>
            </w:pPr>
            <w:r>
              <w:rPr>
                <w:sz w:val="20"/>
              </w:rPr>
              <w:t xml:space="preserve">8 </w:t>
            </w:r>
            <w:hyperlink w:history="0" w:anchor="P752" w:tooltip="&lt;2&gt; Заполняется только социальным предприятием.">
              <w:r>
                <w:rPr>
                  <w:sz w:val="20"/>
                  <w:color w:val="0000ff"/>
                </w:rPr>
                <w:t xml:space="preserve">&lt;2&gt;</w:t>
              </w:r>
            </w:hyperlink>
            <w:r>
              <w:rPr>
                <w:sz w:val="20"/>
              </w:rPr>
              <w:t xml:space="preserve">.</w:t>
            </w:r>
          </w:p>
        </w:tc>
        <w:tc>
          <w:tcPr>
            <w:tcW w:w="5327" w:type="dxa"/>
          </w:tcPr>
          <w:p>
            <w:pPr>
              <w:pStyle w:val="0"/>
              <w:jc w:val="both"/>
            </w:pPr>
            <w:r>
              <w:rPr>
                <w:sz w:val="20"/>
              </w:rPr>
              <w:t xml:space="preserve">Информация о признании социальным предприятием:</w:t>
            </w:r>
          </w:p>
        </w:tc>
        <w:tc>
          <w:tcPr>
            <w:tcW w:w="2891" w:type="dxa"/>
          </w:tcPr>
          <w:p>
            <w:pPr>
              <w:pStyle w:val="0"/>
            </w:pPr>
            <w:r>
              <w:rPr>
                <w:sz w:val="20"/>
              </w:rPr>
            </w:r>
          </w:p>
        </w:tc>
      </w:tr>
      <w:tr>
        <w:tc>
          <w:tcPr>
            <w:vMerge w:val="continue"/>
          </w:tcPr>
          <w:p/>
        </w:tc>
        <w:tc>
          <w:tcPr>
            <w:tcW w:w="5327" w:type="dxa"/>
          </w:tcPr>
          <w:p>
            <w:pPr>
              <w:pStyle w:val="0"/>
              <w:jc w:val="both"/>
            </w:pPr>
            <w:r>
              <w:rPr>
                <w:sz w:val="20"/>
              </w:rPr>
              <w:t xml:space="preserve">1. Год первого включения в реестр социальных предприятий</w:t>
            </w:r>
          </w:p>
        </w:tc>
        <w:tc>
          <w:tcPr>
            <w:tcW w:w="2891" w:type="dxa"/>
          </w:tcPr>
          <w:p>
            <w:pPr>
              <w:pStyle w:val="0"/>
            </w:pPr>
            <w:r>
              <w:rPr>
                <w:sz w:val="20"/>
              </w:rPr>
            </w:r>
          </w:p>
        </w:tc>
      </w:tr>
      <w:tr>
        <w:tc>
          <w:tcPr>
            <w:vMerge w:val="continue"/>
          </w:tcPr>
          <w:p/>
        </w:tc>
        <w:tc>
          <w:tcPr>
            <w:tcW w:w="5327" w:type="dxa"/>
          </w:tcPr>
          <w:p>
            <w:pPr>
              <w:pStyle w:val="0"/>
              <w:jc w:val="both"/>
            </w:pPr>
            <w:r>
              <w:rPr>
                <w:sz w:val="20"/>
              </w:rPr>
              <w:t xml:space="preserve">2. Орган исполнительной власти субъекта Российской Федерации, принявший решение о признании социальным предприятием</w:t>
            </w:r>
          </w:p>
        </w:tc>
        <w:tc>
          <w:tcPr>
            <w:tcW w:w="2891" w:type="dxa"/>
          </w:tcPr>
          <w:p>
            <w:pPr>
              <w:pStyle w:val="0"/>
            </w:pPr>
            <w:r>
              <w:rPr>
                <w:sz w:val="20"/>
              </w:rPr>
            </w:r>
          </w:p>
        </w:tc>
      </w:tr>
      <w:tr>
        <w:tc>
          <w:tcPr>
            <w:tcW w:w="853" w:type="dxa"/>
          </w:tcPr>
          <w:p>
            <w:pPr>
              <w:pStyle w:val="0"/>
              <w:jc w:val="center"/>
            </w:pPr>
            <w:r>
              <w:rPr>
                <w:sz w:val="20"/>
              </w:rPr>
              <w:t xml:space="preserve">9.</w:t>
            </w:r>
          </w:p>
        </w:tc>
        <w:tc>
          <w:tcPr>
            <w:tcW w:w="5327" w:type="dxa"/>
          </w:tcPr>
          <w:p>
            <w:pPr>
              <w:pStyle w:val="0"/>
              <w:jc w:val="both"/>
            </w:pPr>
            <w:r>
              <w:rPr>
                <w:sz w:val="20"/>
              </w:rPr>
              <w:t xml:space="preserve">Осуществляет ли организация (индивидуальный предприниматель) хоть один из следующих видов деятельности: деятельность в сфере игорного бизнеса; деятельность по производству подакцизных товаров; деятельность по производству и (или) реализации подакцизных товаров; деятельность по добыче и (или) реализации полезных ископаемых (указать "да" или "нет", если "да" - указать какие)</w:t>
            </w:r>
          </w:p>
        </w:tc>
        <w:tc>
          <w:tcPr>
            <w:tcW w:w="2891" w:type="dxa"/>
          </w:tcPr>
          <w:p>
            <w:pPr>
              <w:pStyle w:val="0"/>
            </w:pPr>
            <w:r>
              <w:rPr>
                <w:sz w:val="20"/>
              </w:rPr>
            </w:r>
          </w:p>
        </w:tc>
      </w:tr>
      <w:tr>
        <w:tc>
          <w:tcPr>
            <w:tcW w:w="853" w:type="dxa"/>
          </w:tcPr>
          <w:p>
            <w:pPr>
              <w:pStyle w:val="0"/>
              <w:jc w:val="center"/>
            </w:pPr>
            <w:r>
              <w:rPr>
                <w:sz w:val="20"/>
              </w:rPr>
              <w:t xml:space="preserve">10.</w:t>
            </w:r>
          </w:p>
        </w:tc>
        <w:tc>
          <w:tcPr>
            <w:tcW w:w="5327" w:type="dxa"/>
          </w:tcPr>
          <w:p>
            <w:pPr>
              <w:pStyle w:val="0"/>
              <w:jc w:val="both"/>
            </w:pPr>
            <w:r>
              <w:rPr>
                <w:sz w:val="20"/>
              </w:rPr>
              <w:t xml:space="preserve">Подтверждаю, что ознакомлен и согласен с положениями Порядка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(далее - Порядок) (указать "да, подтверждаю" или "нет, не подтверждаю")</w:t>
            </w:r>
          </w:p>
        </w:tc>
        <w:tc>
          <w:tcPr>
            <w:tcW w:w="2891" w:type="dxa"/>
          </w:tcPr>
          <w:p>
            <w:pPr>
              <w:pStyle w:val="0"/>
            </w:pPr>
            <w:r>
              <w:rPr>
                <w:sz w:val="20"/>
              </w:rPr>
            </w:r>
          </w:p>
        </w:tc>
      </w:tr>
      <w:tr>
        <w:tc>
          <w:tcPr>
            <w:tcW w:w="853" w:type="dxa"/>
          </w:tcPr>
          <w:p>
            <w:pPr>
              <w:pStyle w:val="0"/>
              <w:jc w:val="center"/>
            </w:pPr>
            <w:r>
              <w:rPr>
                <w:sz w:val="20"/>
              </w:rPr>
              <w:t xml:space="preserve">11.</w:t>
            </w:r>
          </w:p>
        </w:tc>
        <w:tc>
          <w:tcPr>
            <w:tcW w:w="5327" w:type="dxa"/>
          </w:tcPr>
          <w:p>
            <w:pPr>
              <w:pStyle w:val="0"/>
              <w:jc w:val="both"/>
            </w:pPr>
            <w:r>
              <w:rPr>
                <w:sz w:val="20"/>
              </w:rPr>
              <w:t xml:space="preserve">Подтверждаю, что на дату подачи заявки юридическое лицо не находиться в процессе реорганизации, ликвидации, в отношении организации не введена процедура банкротства, деятельность участника отбора не приостановлена в порядке, предусмотренном законодательством Российской Федерации / индивидуальный предприниматель не прекратил деятельность в качестве индивидуального предпринимателя (указать "да, подтверждаю" или "нет, не подтверждаю")</w:t>
            </w:r>
          </w:p>
        </w:tc>
        <w:tc>
          <w:tcPr>
            <w:tcW w:w="2891" w:type="dxa"/>
          </w:tcPr>
          <w:p>
            <w:pPr>
              <w:pStyle w:val="0"/>
            </w:pPr>
            <w:r>
              <w:rPr>
                <w:sz w:val="20"/>
              </w:rPr>
            </w:r>
          </w:p>
        </w:tc>
      </w:tr>
      <w:tr>
        <w:tc>
          <w:tcPr>
            <w:tcW w:w="853" w:type="dxa"/>
          </w:tcPr>
          <w:p>
            <w:pPr>
              <w:pStyle w:val="0"/>
              <w:jc w:val="center"/>
            </w:pPr>
            <w:r>
              <w:rPr>
                <w:sz w:val="20"/>
              </w:rPr>
              <w:t xml:space="preserve">12.</w:t>
            </w:r>
          </w:p>
        </w:tc>
        <w:tc>
          <w:tcPr>
            <w:tcW w:w="5327" w:type="dxa"/>
          </w:tcPr>
          <w:p>
            <w:pPr>
              <w:pStyle w:val="0"/>
              <w:jc w:val="both"/>
            </w:pPr>
            <w:r>
              <w:rPr>
                <w:sz w:val="20"/>
              </w:rPr>
              <w:t xml:space="preserve">Подтверждаю, что юридическое лицо / индивидуальный предприниматель в случае получения гранта осуществит расходование средств (гранта, а также собственных и (или) заемных средств в размере не менее 25% от размера расходов, предусмотренных на реализацию проекта в соответствии с планом расходования средств, представляемым в составе проекта) на реализацию проекта в течение года со дня, следующего за днем заключения соглашения о предоставлении гранта (указать "да, подтверждаю" или "нет, не подтверждаю")</w:t>
            </w:r>
          </w:p>
        </w:tc>
        <w:tc>
          <w:tcPr>
            <w:tcW w:w="2891" w:type="dxa"/>
          </w:tcPr>
          <w:p>
            <w:pPr>
              <w:pStyle w:val="0"/>
            </w:pPr>
            <w:r>
              <w:rPr>
                <w:sz w:val="20"/>
              </w:rPr>
            </w:r>
          </w:p>
        </w:tc>
      </w:tr>
      <w:tr>
        <w:tc>
          <w:tcPr>
            <w:tcW w:w="853" w:type="dxa"/>
          </w:tcPr>
          <w:p>
            <w:pPr>
              <w:pStyle w:val="0"/>
              <w:jc w:val="center"/>
            </w:pPr>
            <w:r>
              <w:rPr>
                <w:sz w:val="20"/>
              </w:rPr>
              <w:t xml:space="preserve">13 </w:t>
            </w:r>
            <w:hyperlink w:history="0" w:anchor="P752" w:tooltip="&lt;2&gt; Заполняется только социальным предприятием.">
              <w:r>
                <w:rPr>
                  <w:sz w:val="20"/>
                  <w:color w:val="0000ff"/>
                </w:rPr>
                <w:t xml:space="preserve">&lt;2&gt;</w:t>
              </w:r>
            </w:hyperlink>
            <w:r>
              <w:rPr>
                <w:sz w:val="20"/>
              </w:rPr>
              <w:t xml:space="preserve">.</w:t>
            </w:r>
          </w:p>
        </w:tc>
        <w:tc>
          <w:tcPr>
            <w:tcW w:w="5327" w:type="dxa"/>
          </w:tcPr>
          <w:p>
            <w:pPr>
              <w:pStyle w:val="0"/>
              <w:jc w:val="both"/>
            </w:pPr>
            <w:r>
              <w:rPr>
                <w:sz w:val="20"/>
              </w:rPr>
              <w:t xml:space="preserve">Обязуюсь, в случае получения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w:history="0" r:id="rId27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(указать "да, обязуюсь" или "нет, не обязуюсь")</w:t>
            </w:r>
          </w:p>
        </w:tc>
        <w:tc>
          <w:tcPr>
            <w:tcW w:w="2891" w:type="dxa"/>
          </w:tcPr>
          <w:p>
            <w:pPr>
              <w:pStyle w:val="0"/>
            </w:pPr>
            <w:r>
              <w:rPr>
                <w:sz w:val="20"/>
              </w:rPr>
            </w:r>
          </w:p>
        </w:tc>
      </w:tr>
      <w:tr>
        <w:tc>
          <w:tcPr>
            <w:tcW w:w="853" w:type="dxa"/>
          </w:tcPr>
          <w:p>
            <w:pPr>
              <w:pStyle w:val="0"/>
              <w:jc w:val="center"/>
            </w:pPr>
            <w:r>
              <w:rPr>
                <w:sz w:val="20"/>
              </w:rPr>
              <w:t xml:space="preserve">14.</w:t>
            </w:r>
          </w:p>
        </w:tc>
        <w:tc>
          <w:tcPr>
            <w:tcW w:w="5327" w:type="dxa"/>
          </w:tcPr>
          <w:p>
            <w:pPr>
              <w:pStyle w:val="0"/>
              <w:jc w:val="both"/>
            </w:pPr>
            <w:r>
              <w:rPr>
                <w:sz w:val="20"/>
              </w:rPr>
              <w:t xml:space="preserve">Настоящим подтверждаю, что имущество (оргтехника; оборудование (в том числе мебель); транспортные средства для перевозки маломобильных групп населения, в том числе инвалидов; оборудование, полученное в рамках договора финансовой аренды (лизинга)), подлежит эксплуатации в Тюменской области (без автономных округов).</w:t>
            </w:r>
          </w:p>
          <w:p>
            <w:pPr>
              <w:pStyle w:val="0"/>
              <w:jc w:val="both"/>
            </w:pPr>
            <w:r>
              <w:rPr>
                <w:sz w:val="20"/>
              </w:rPr>
              <w:t xml:space="preserve">Настоящим подтверждаю, что нежилое помещение, на аренду или ремонт которого планируется направление средств гранта располагается в Тюменской области (без автономных округов).</w:t>
            </w:r>
          </w:p>
          <w:p>
            <w:pPr>
              <w:pStyle w:val="0"/>
              <w:jc w:val="both"/>
            </w:pPr>
            <w:r>
              <w:rPr>
                <w:sz w:val="20"/>
              </w:rPr>
              <w:t xml:space="preserve">Настоящим подтверждаю, что оплата коммунальных услуг и услуг электроснабжения будет осуществляться в отношении нежилого помещения, которое располагается в Тюменской области (без автономных округов).</w:t>
            </w:r>
          </w:p>
          <w:p>
            <w:pPr>
              <w:pStyle w:val="0"/>
              <w:jc w:val="both"/>
            </w:pPr>
            <w:r>
              <w:rPr>
                <w:sz w:val="20"/>
              </w:rPr>
              <w:t xml:space="preserve">Настоящим подтверждаю, что технологическое присоединение будет осуществляться не к жилому объекту недвижимости. Объект инженерной структуры расположен в Тюменской области (без автономных округов) (указать "да, подтверждаю" (если "да" - указать конкретное условие); "нет, не подтверждаю" или "иные расходования средств") </w:t>
            </w:r>
            <w:hyperlink w:history="0" w:anchor="P753" w:tooltip="&lt;3&gt; Иные расходования средств указываются в случаях финансового обеспечения следующих расходов, связанных с реализацией проекта:">
              <w:r>
                <w:rPr>
                  <w:sz w:val="20"/>
                  <w:color w:val="0000ff"/>
                </w:rPr>
                <w:t xml:space="preserve">&lt;3&gt;</w:t>
              </w:r>
            </w:hyperlink>
          </w:p>
        </w:tc>
        <w:tc>
          <w:tcPr>
            <w:tcW w:w="2891" w:type="dxa"/>
          </w:tcPr>
          <w:p>
            <w:pPr>
              <w:pStyle w:val="0"/>
            </w:pPr>
            <w:r>
              <w:rPr>
                <w:sz w:val="20"/>
              </w:rPr>
            </w:r>
          </w:p>
        </w:tc>
      </w:tr>
      <w:tr>
        <w:tc>
          <w:tcPr>
            <w:tcW w:w="853" w:type="dxa"/>
          </w:tcPr>
          <w:p>
            <w:pPr>
              <w:pStyle w:val="0"/>
              <w:jc w:val="center"/>
            </w:pPr>
            <w:r>
              <w:rPr>
                <w:sz w:val="20"/>
              </w:rPr>
              <w:t xml:space="preserve">15.</w:t>
            </w:r>
          </w:p>
        </w:tc>
        <w:tc>
          <w:tcPr>
            <w:tcW w:w="5327" w:type="dxa"/>
          </w:tcPr>
          <w:p>
            <w:pPr>
              <w:pStyle w:val="0"/>
              <w:jc w:val="both"/>
            </w:pPr>
            <w:r>
              <w:rPr>
                <w:sz w:val="20"/>
              </w:rPr>
              <w:t xml:space="preserve">Согласен на публикацию (размещение) в информационно-телекоммуникационной сети "Интернет" информации о субъекте предпринимательства, о подаваемой субъектом предпринимательства настоящей Заявке, иной информации о субъекте предпринимательства, связанной с данным отбором (указать "да, согласен" или "нет, не согласен")</w:t>
            </w:r>
          </w:p>
        </w:tc>
        <w:tc>
          <w:tcPr>
            <w:tcW w:w="2891" w:type="dxa"/>
          </w:tcPr>
          <w:p>
            <w:pPr>
              <w:pStyle w:val="0"/>
            </w:pPr>
            <w:r>
              <w:rPr>
                <w:sz w:val="20"/>
              </w:rPr>
            </w:r>
          </w:p>
        </w:tc>
      </w:tr>
      <w:tr>
        <w:tc>
          <w:tcPr>
            <w:tcW w:w="853" w:type="dxa"/>
          </w:tcPr>
          <w:p>
            <w:pPr>
              <w:pStyle w:val="0"/>
              <w:jc w:val="center"/>
            </w:pPr>
            <w:r>
              <w:rPr>
                <w:sz w:val="20"/>
              </w:rPr>
              <w:t xml:space="preserve">16</w:t>
            </w:r>
          </w:p>
        </w:tc>
        <w:tc>
          <w:tcPr>
            <w:tcW w:w="5327" w:type="dxa"/>
          </w:tcPr>
          <w:p>
            <w:pPr>
              <w:pStyle w:val="0"/>
              <w:jc w:val="both"/>
            </w:pPr>
            <w:r>
              <w:rPr>
                <w:sz w:val="20"/>
              </w:rPr>
              <w:t xml:space="preserve">Согласен на получение корреспонденции по электронной почте на адрес, указанный в </w:t>
            </w:r>
            <w:hyperlink w:history="0" w:anchor="P679" w:tooltip="4.">
              <w:r>
                <w:rPr>
                  <w:sz w:val="20"/>
                  <w:color w:val="0000ff"/>
                </w:rPr>
                <w:t xml:space="preserve">п. 4</w:t>
              </w:r>
            </w:hyperlink>
            <w:r>
              <w:rPr>
                <w:sz w:val="20"/>
              </w:rPr>
              <w:t xml:space="preserve"> настоящей заявки (указать "да, согласен" или "нет, не согласен")</w:t>
            </w:r>
          </w:p>
        </w:tc>
        <w:tc>
          <w:tcPr>
            <w:tcW w:w="2891" w:type="dxa"/>
          </w:tcPr>
          <w:p>
            <w:pPr>
              <w:pStyle w:val="0"/>
            </w:pPr>
            <w:r>
              <w:rPr>
                <w:sz w:val="20"/>
              </w:rPr>
            </w:r>
          </w:p>
        </w:tc>
      </w:tr>
      <w:tr>
        <w:tc>
          <w:tcPr>
            <w:tcW w:w="853" w:type="dxa"/>
          </w:tcPr>
          <w:p>
            <w:pPr>
              <w:pStyle w:val="0"/>
              <w:jc w:val="center"/>
            </w:pPr>
            <w:r>
              <w:rPr>
                <w:sz w:val="20"/>
              </w:rPr>
              <w:t xml:space="preserve">17 </w:t>
            </w:r>
            <w:hyperlink w:history="0" w:anchor="P762" w:tooltip="&lt;4&gt; Заполняется только молодым предпринимателем.">
              <w:r>
                <w:rPr>
                  <w:sz w:val="20"/>
                  <w:color w:val="0000ff"/>
                </w:rPr>
                <w:t xml:space="preserve">&lt;4&gt;</w:t>
              </w:r>
            </w:hyperlink>
          </w:p>
        </w:tc>
        <w:tc>
          <w:tcPr>
            <w:tcW w:w="5327" w:type="dxa"/>
          </w:tcPr>
          <w:p>
            <w:pPr>
              <w:pStyle w:val="0"/>
              <w:jc w:val="both"/>
            </w:pPr>
            <w:r>
              <w:rPr>
                <w:sz w:val="20"/>
              </w:rPr>
              <w:t xml:space="preserve">Обязуюсь, в случае получения гранта, ежегодно в течение трех лет, начиная с года, следующего за годом предоставления гранта, предоставлять в Уполномоченный орган информацию о финансово-экономических показателях (указать "да, обязуюсь" или "нет, не обязуюсь")</w:t>
            </w:r>
          </w:p>
        </w:tc>
        <w:tc>
          <w:tcPr>
            <w:tcW w:w="2891" w:type="dxa"/>
          </w:tcPr>
          <w:p>
            <w:pPr>
              <w:pStyle w:val="0"/>
            </w:pPr>
            <w:r>
              <w:rPr>
                <w:sz w:val="20"/>
              </w:rPr>
            </w:r>
          </w:p>
        </w:tc>
      </w:tr>
    </w:tbl>
    <w:p>
      <w:pPr>
        <w:pStyle w:val="0"/>
        <w:jc w:val="both"/>
      </w:pPr>
      <w:r>
        <w:rPr>
          <w:sz w:val="20"/>
        </w:rPr>
      </w:r>
    </w:p>
    <w:p>
      <w:pPr>
        <w:pStyle w:val="0"/>
        <w:ind w:firstLine="540"/>
        <w:jc w:val="both"/>
      </w:pPr>
      <w:r>
        <w:rPr>
          <w:sz w:val="20"/>
        </w:rPr>
        <w:t xml:space="preserve">В целях получения гранта предоставляю следующие документы </w:t>
      </w:r>
      <w:hyperlink w:history="0" w:anchor="P763" w:tooltip="&lt;5&gt; Осуществляется полная опись предоставляемых заявителем документов.">
        <w:r>
          <w:rPr>
            <w:sz w:val="20"/>
            <w:color w:val="0000ff"/>
          </w:rPr>
          <w:t xml:space="preserve">&lt;5&gt;</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3"/>
        <w:gridCol w:w="4819"/>
        <w:gridCol w:w="3402"/>
      </w:tblGrid>
      <w:tr>
        <w:tc>
          <w:tcPr>
            <w:tcW w:w="803" w:type="dxa"/>
          </w:tcPr>
          <w:p>
            <w:pPr>
              <w:pStyle w:val="0"/>
              <w:jc w:val="center"/>
            </w:pPr>
            <w:r>
              <w:rPr>
                <w:sz w:val="20"/>
              </w:rPr>
              <w:t xml:space="preserve">п/п</w:t>
            </w:r>
          </w:p>
        </w:tc>
        <w:tc>
          <w:tcPr>
            <w:tcW w:w="4819" w:type="dxa"/>
          </w:tcPr>
          <w:p>
            <w:pPr>
              <w:pStyle w:val="0"/>
              <w:jc w:val="center"/>
            </w:pPr>
            <w:r>
              <w:rPr>
                <w:sz w:val="20"/>
              </w:rPr>
              <w:t xml:space="preserve">Наименование документа</w:t>
            </w:r>
          </w:p>
        </w:tc>
        <w:tc>
          <w:tcPr>
            <w:tcW w:w="3402" w:type="dxa"/>
          </w:tcPr>
          <w:p>
            <w:pPr>
              <w:pStyle w:val="0"/>
              <w:jc w:val="center"/>
            </w:pPr>
            <w:r>
              <w:rPr>
                <w:sz w:val="20"/>
              </w:rPr>
              <w:t xml:space="preserve">Количество листов</w:t>
            </w:r>
          </w:p>
        </w:tc>
      </w:tr>
      <w:tr>
        <w:tc>
          <w:tcPr>
            <w:tcW w:w="803" w:type="dxa"/>
          </w:tcPr>
          <w:p>
            <w:pPr>
              <w:pStyle w:val="0"/>
              <w:jc w:val="center"/>
            </w:pPr>
            <w:r>
              <w:rPr>
                <w:sz w:val="20"/>
              </w:rPr>
              <w:t xml:space="preserve">1</w:t>
            </w:r>
          </w:p>
        </w:tc>
        <w:tc>
          <w:tcPr>
            <w:tcW w:w="4819" w:type="dxa"/>
          </w:tcPr>
          <w:p>
            <w:pPr>
              <w:pStyle w:val="0"/>
            </w:pPr>
            <w:r>
              <w:rPr>
                <w:sz w:val="20"/>
              </w:rPr>
            </w:r>
          </w:p>
        </w:tc>
        <w:tc>
          <w:tcPr>
            <w:tcW w:w="3402" w:type="dxa"/>
          </w:tcPr>
          <w:p>
            <w:pPr>
              <w:pStyle w:val="0"/>
            </w:pPr>
            <w:r>
              <w:rPr>
                <w:sz w:val="20"/>
              </w:rPr>
            </w:r>
          </w:p>
        </w:tc>
      </w:tr>
      <w:tr>
        <w:tc>
          <w:tcPr>
            <w:tcW w:w="803" w:type="dxa"/>
          </w:tcPr>
          <w:p>
            <w:pPr>
              <w:pStyle w:val="0"/>
              <w:jc w:val="center"/>
            </w:pPr>
            <w:r>
              <w:rPr>
                <w:sz w:val="20"/>
              </w:rPr>
              <w:t xml:space="preserve">2</w:t>
            </w:r>
          </w:p>
        </w:tc>
        <w:tc>
          <w:tcPr>
            <w:tcW w:w="4819" w:type="dxa"/>
          </w:tcPr>
          <w:p>
            <w:pPr>
              <w:pStyle w:val="0"/>
            </w:pPr>
            <w:r>
              <w:rPr>
                <w:sz w:val="20"/>
              </w:rPr>
            </w:r>
          </w:p>
        </w:tc>
        <w:tc>
          <w:tcPr>
            <w:tcW w:w="3402" w:type="dxa"/>
          </w:tcPr>
          <w:p>
            <w:pPr>
              <w:pStyle w:val="0"/>
            </w:pPr>
            <w:r>
              <w:rPr>
                <w:sz w:val="20"/>
              </w:rPr>
            </w:r>
          </w:p>
        </w:tc>
      </w:tr>
      <w:tr>
        <w:tc>
          <w:tcPr>
            <w:tcW w:w="803" w:type="dxa"/>
          </w:tcPr>
          <w:p>
            <w:pPr>
              <w:pStyle w:val="0"/>
              <w:jc w:val="center"/>
            </w:pPr>
            <w:r>
              <w:rPr>
                <w:sz w:val="20"/>
              </w:rPr>
              <w:t xml:space="preserve">и т.д.</w:t>
            </w:r>
          </w:p>
        </w:tc>
        <w:tc>
          <w:tcPr>
            <w:tcW w:w="4819" w:type="dxa"/>
          </w:tcPr>
          <w:p>
            <w:pPr>
              <w:pStyle w:val="0"/>
            </w:pPr>
            <w:r>
              <w:rPr>
                <w:sz w:val="20"/>
              </w:rPr>
            </w:r>
          </w:p>
        </w:tc>
        <w:tc>
          <w:tcPr>
            <w:tcW w:w="340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751" w:name="P751"/>
    <w:bookmarkEnd w:id="751"/>
    <w:p>
      <w:pPr>
        <w:pStyle w:val="0"/>
        <w:spacing w:before="200" w:line-rule="auto"/>
        <w:ind w:firstLine="540"/>
        <w:jc w:val="both"/>
      </w:pPr>
      <w:r>
        <w:rPr>
          <w:sz w:val="20"/>
        </w:rPr>
        <w:t xml:space="preserve">&lt;1&gt; Все поля подлежат обязательному заполнению.</w:t>
      </w:r>
    </w:p>
    <w:bookmarkStart w:id="752" w:name="P752"/>
    <w:bookmarkEnd w:id="752"/>
    <w:p>
      <w:pPr>
        <w:pStyle w:val="0"/>
        <w:spacing w:before="200" w:line-rule="auto"/>
        <w:ind w:firstLine="540"/>
        <w:jc w:val="both"/>
      </w:pPr>
      <w:r>
        <w:rPr>
          <w:sz w:val="20"/>
        </w:rPr>
        <w:t xml:space="preserve">&lt;2&gt; Заполняется только социальным предприятием.</w:t>
      </w:r>
    </w:p>
    <w:bookmarkStart w:id="753" w:name="P753"/>
    <w:bookmarkEnd w:id="753"/>
    <w:p>
      <w:pPr>
        <w:pStyle w:val="0"/>
        <w:spacing w:before="200" w:line-rule="auto"/>
        <w:ind w:firstLine="540"/>
        <w:jc w:val="both"/>
      </w:pPr>
      <w:r>
        <w:rPr>
          <w:sz w:val="20"/>
        </w:rPr>
        <w:t xml:space="preserve">&lt;3&gt; Иные расходования средств указываются в случаях финансового обеспечения следующих расходов, связанных с реализацией проекта:</w:t>
      </w:r>
    </w:p>
    <w:p>
      <w:pPr>
        <w:pStyle w:val="0"/>
        <w:spacing w:before="200" w:line-rule="auto"/>
        <w:ind w:firstLine="540"/>
        <w:jc w:val="both"/>
      </w:pPr>
      <w:r>
        <w:rPr>
          <w:sz w:val="20"/>
        </w:rPr>
        <w:t xml:space="preserve">- выплата по передаче прав на франшизу (паушальный платеж);</w:t>
      </w:r>
    </w:p>
    <w:p>
      <w:pPr>
        <w:pStyle w:val="0"/>
        <w:spacing w:before="200" w:line-rule="auto"/>
        <w:ind w:firstLine="540"/>
        <w:jc w:val="both"/>
      </w:pPr>
      <w:r>
        <w:rPr>
          <w:sz w:val="20"/>
        </w:rPr>
        <w:t xml:space="preserve">- оформление результатов интеллектуальной деятельности;</w:t>
      </w:r>
    </w:p>
    <w:p>
      <w:pPr>
        <w:pStyle w:val="0"/>
        <w:spacing w:before="200" w:line-rule="auto"/>
        <w:ind w:firstLine="540"/>
        <w:jc w:val="both"/>
      </w:pPr>
      <w:r>
        <w:rPr>
          <w:sz w:val="20"/>
        </w:rPr>
        <w:t xml:space="preserve">- оплата услуг связи, в том числе информационно-телекоммуникационной сети "Интернет";</w:t>
      </w:r>
    </w:p>
    <w:p>
      <w:pPr>
        <w:pStyle w:val="0"/>
        <w:spacing w:before="200" w:line-rule="auto"/>
        <w:ind w:firstLine="540"/>
        <w:jc w:val="both"/>
      </w:pPr>
      <w:r>
        <w:rPr>
          <w:sz w:val="20"/>
        </w:rPr>
        <w:t xml:space="preserve">-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pPr>
        <w:pStyle w:val="0"/>
        <w:spacing w:before="200" w:line-rule="auto"/>
        <w:ind w:firstLine="540"/>
        <w:jc w:val="both"/>
      </w:pPr>
      <w:r>
        <w:rPr>
          <w:sz w:val="20"/>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pPr>
        <w:pStyle w:val="0"/>
        <w:spacing w:before="200" w:line-rule="auto"/>
        <w:ind w:firstLine="540"/>
        <w:jc w:val="both"/>
      </w:pPr>
      <w:r>
        <w:rPr>
          <w:sz w:val="20"/>
        </w:rPr>
        <w:t xml:space="preserve">- приобретение сырья, расходных материалов, необходимых для производства продукции и оказания услуг;</w:t>
      </w:r>
    </w:p>
    <w:p>
      <w:pPr>
        <w:pStyle w:val="0"/>
        <w:spacing w:before="200" w:line-rule="auto"/>
        <w:ind w:firstLine="540"/>
        <w:jc w:val="both"/>
      </w:pPr>
      <w:r>
        <w:rPr>
          <w:sz w:val="20"/>
        </w:rPr>
        <w:t xml:space="preserve">-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bookmarkStart w:id="762" w:name="P762"/>
    <w:bookmarkEnd w:id="762"/>
    <w:p>
      <w:pPr>
        <w:pStyle w:val="0"/>
        <w:spacing w:before="200" w:line-rule="auto"/>
        <w:ind w:firstLine="540"/>
        <w:jc w:val="both"/>
      </w:pPr>
      <w:r>
        <w:rPr>
          <w:sz w:val="20"/>
        </w:rPr>
        <w:t xml:space="preserve">&lt;4&gt; Заполняется только молодым предпринимателем.</w:t>
      </w:r>
    </w:p>
    <w:bookmarkStart w:id="763" w:name="P763"/>
    <w:bookmarkEnd w:id="763"/>
    <w:p>
      <w:pPr>
        <w:pStyle w:val="0"/>
        <w:spacing w:before="200" w:line-rule="auto"/>
        <w:ind w:firstLine="540"/>
        <w:jc w:val="both"/>
      </w:pPr>
      <w:r>
        <w:rPr>
          <w:sz w:val="20"/>
        </w:rPr>
        <w:t xml:space="preserve">&lt;5&gt; Осуществляется полная опись предоставляемых заявителем документов.</w:t>
      </w:r>
    </w:p>
    <w:p>
      <w:pPr>
        <w:pStyle w:val="0"/>
        <w:jc w:val="both"/>
      </w:pPr>
      <w:r>
        <w:rPr>
          <w:sz w:val="20"/>
        </w:rPr>
      </w:r>
    </w:p>
    <w:p>
      <w:pPr>
        <w:pStyle w:val="0"/>
        <w:ind w:firstLine="540"/>
        <w:jc w:val="both"/>
      </w:pPr>
      <w:r>
        <w:rPr>
          <w:sz w:val="20"/>
        </w:rPr>
        <w:t xml:space="preserve">Уведомление о принятом решении прошу направить следующим способом: ____________________________ (указать один из способов: заказным письмом на юридический адрес; на адрес электронной почты; лично под расписку)</w:t>
      </w:r>
    </w:p>
    <w:p>
      <w:pPr>
        <w:pStyle w:val="0"/>
        <w:spacing w:before="200" w:line-rule="auto"/>
        <w:ind w:firstLine="540"/>
        <w:jc w:val="both"/>
      </w:pPr>
      <w:r>
        <w:rPr>
          <w:sz w:val="20"/>
        </w:rPr>
        <w:t xml:space="preserve">Настоящим подтверждаю достоверность и полноту представленных сведений.</w:t>
      </w:r>
    </w:p>
    <w:p>
      <w:pPr>
        <w:pStyle w:val="0"/>
        <w:spacing w:before="200" w:line-rule="auto"/>
        <w:ind w:firstLine="540"/>
        <w:jc w:val="both"/>
      </w:pPr>
      <w:r>
        <w:rPr>
          <w:sz w:val="20"/>
        </w:rPr>
        <w:t xml:space="preserve">для руководителя организации/индивидуального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307"/>
        <w:gridCol w:w="3240"/>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307"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(Ф.И.О. полностью)</w:t>
            </w:r>
          </w:p>
        </w:tc>
        <w:tc>
          <w:tcPr>
            <w:tcW w:w="3240" w:type="dxa"/>
            <w:tcBorders>
              <w:top w:val="nil"/>
              <w:left w:val="nil"/>
              <w:bottom w:val="nil"/>
              <w:right w:val="nil"/>
            </w:tcBorders>
          </w:tcPr>
          <w:p>
            <w:pPr>
              <w:pStyle w:val="0"/>
              <w:jc w:val="center"/>
            </w:pPr>
            <w:r>
              <w:rPr>
                <w:sz w:val="20"/>
              </w:rPr>
              <w:t xml:space="preserve">"___" __________ 20__ г.</w:t>
            </w:r>
          </w:p>
        </w:tc>
      </w:tr>
      <w:tr>
        <w:tc>
          <w:tcPr>
            <w:gridSpan w:val="3"/>
            <w:tcW w:w="9645"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ind w:firstLine="540"/>
        <w:jc w:val="both"/>
      </w:pPr>
      <w:r>
        <w:rPr>
          <w:sz w:val="20"/>
        </w:rPr>
        <w:t xml:space="preserve">или - для представителя организации/представителя 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307"/>
        <w:gridCol w:w="3240"/>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307" w:type="dxa"/>
            <w:tcBorders>
              <w:top w:val="nil"/>
              <w:left w:val="nil"/>
              <w:bottom w:val="nil"/>
              <w:right w:val="nil"/>
            </w:tcBorders>
          </w:tcPr>
          <w:p>
            <w:pPr>
              <w:pStyle w:val="0"/>
              <w:jc w:val="center"/>
            </w:pPr>
            <w:r>
              <w:rPr>
                <w:sz w:val="20"/>
              </w:rPr>
              <w:t xml:space="preserve">____________________________</w:t>
            </w:r>
          </w:p>
          <w:p>
            <w:pPr>
              <w:pStyle w:val="0"/>
              <w:jc w:val="center"/>
            </w:pPr>
            <w:r>
              <w:rPr>
                <w:sz w:val="20"/>
              </w:rPr>
              <w:t xml:space="preserve">(Ф.И.О. полностью)</w:t>
            </w:r>
          </w:p>
        </w:tc>
        <w:tc>
          <w:tcPr>
            <w:tcW w:w="3240" w:type="dxa"/>
            <w:tcBorders>
              <w:top w:val="nil"/>
              <w:left w:val="nil"/>
              <w:bottom w:val="nil"/>
              <w:right w:val="nil"/>
            </w:tcBorders>
          </w:tcPr>
          <w:p>
            <w:pPr>
              <w:pStyle w:val="0"/>
              <w:jc w:val="center"/>
            </w:pPr>
            <w:r>
              <w:rPr>
                <w:sz w:val="20"/>
              </w:rPr>
              <w:t xml:space="preserve">"___" __________ 20__ г.</w:t>
            </w:r>
          </w:p>
        </w:tc>
      </w:tr>
      <w:tr>
        <w:tc>
          <w:tcPr>
            <w:gridSpan w:val="3"/>
            <w:tcW w:w="9645"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ind w:firstLine="540"/>
        <w:jc w:val="both"/>
      </w:pPr>
      <w:r>
        <w:rPr>
          <w:sz w:val="20"/>
        </w:rPr>
        <w:t xml:space="preserve">Документ, подтверждающий полномочия представителя: ________________________________</w:t>
      </w:r>
    </w:p>
    <w:p>
      <w:pPr>
        <w:pStyle w:val="0"/>
        <w:spacing w:before="200" w:line-rule="auto"/>
        <w:ind w:firstLine="540"/>
        <w:jc w:val="both"/>
      </w:pPr>
      <w:r>
        <w:rPr>
          <w:sz w:val="20"/>
        </w:rPr>
        <w:t xml:space="preserve">для главного бухгалтера организации/главного бухгалтера 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082"/>
        <w:gridCol w:w="3465"/>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08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 полностью)</w:t>
            </w:r>
          </w:p>
        </w:tc>
        <w:tc>
          <w:tcPr>
            <w:tcW w:w="3465" w:type="dxa"/>
            <w:tcBorders>
              <w:top w:val="nil"/>
              <w:left w:val="nil"/>
              <w:bottom w:val="nil"/>
              <w:right w:val="nil"/>
            </w:tcBorders>
          </w:tcPr>
          <w:p>
            <w:pPr>
              <w:pStyle w:val="0"/>
              <w:jc w:val="center"/>
            </w:pPr>
            <w:r>
              <w:rPr>
                <w:sz w:val="20"/>
              </w:rPr>
              <w:t xml:space="preserve">"___" __________ 20__ г.</w:t>
            </w:r>
          </w:p>
        </w:tc>
      </w:tr>
    </w:tbl>
    <w:p>
      <w:pPr>
        <w:pStyle w:val="0"/>
        <w:jc w:val="both"/>
      </w:pPr>
      <w:r>
        <w:rPr>
          <w:sz w:val="20"/>
        </w:rPr>
      </w:r>
    </w:p>
    <w:p>
      <w:pPr>
        <w:pStyle w:val="0"/>
        <w:ind w:firstLine="540"/>
        <w:jc w:val="both"/>
      </w:pPr>
      <w:r>
        <w:rPr>
          <w:sz w:val="20"/>
        </w:rPr>
        <w:t xml:space="preserve">Регистрационные данные (заполняются сотрудниками Фонда "Инвестиционное агентство Тюменской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0"/>
        <w:gridCol w:w="3120"/>
        <w:gridCol w:w="2948"/>
      </w:tblGrid>
      <w:tr>
        <w:tc>
          <w:tcPr>
            <w:tcW w:w="3000" w:type="dxa"/>
          </w:tcPr>
          <w:p>
            <w:pPr>
              <w:pStyle w:val="0"/>
              <w:jc w:val="center"/>
            </w:pPr>
            <w:r>
              <w:rPr>
                <w:sz w:val="20"/>
              </w:rPr>
              <w:t xml:space="preserve">Регистрационный номер заявочных документов</w:t>
            </w:r>
          </w:p>
        </w:tc>
        <w:tc>
          <w:tcPr>
            <w:tcW w:w="3120" w:type="dxa"/>
          </w:tcPr>
          <w:p>
            <w:pPr>
              <w:pStyle w:val="0"/>
              <w:jc w:val="center"/>
            </w:pPr>
            <w:r>
              <w:rPr>
                <w:sz w:val="20"/>
              </w:rPr>
              <w:t xml:space="preserve">Точная дата и время поступления заявочных документов</w:t>
            </w:r>
          </w:p>
        </w:tc>
        <w:tc>
          <w:tcPr>
            <w:tcW w:w="2948" w:type="dxa"/>
          </w:tcPr>
          <w:p>
            <w:pPr>
              <w:pStyle w:val="0"/>
              <w:jc w:val="center"/>
            </w:pPr>
            <w:r>
              <w:rPr>
                <w:sz w:val="20"/>
              </w:rPr>
              <w:t xml:space="preserve">ФИО, должность специалиста, принявшего документы</w:t>
            </w:r>
          </w:p>
        </w:tc>
      </w:tr>
      <w:tr>
        <w:tc>
          <w:tcPr>
            <w:tcW w:w="3000" w:type="dxa"/>
          </w:tcPr>
          <w:p>
            <w:pPr>
              <w:pStyle w:val="0"/>
            </w:pPr>
            <w:r>
              <w:rPr>
                <w:sz w:val="20"/>
              </w:rPr>
            </w:r>
          </w:p>
        </w:tc>
        <w:tc>
          <w:tcPr>
            <w:tcW w:w="3120" w:type="dxa"/>
          </w:tcPr>
          <w:p>
            <w:pPr>
              <w:pStyle w:val="0"/>
            </w:pPr>
            <w:r>
              <w:rPr>
                <w:sz w:val="20"/>
              </w:rPr>
            </w:r>
          </w:p>
        </w:tc>
        <w:tc>
          <w:tcPr>
            <w:tcW w:w="29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w:t>
      </w:r>
    </w:p>
    <w:p>
      <w:pPr>
        <w:pStyle w:val="0"/>
        <w:jc w:val="right"/>
      </w:pPr>
      <w:r>
        <w:rPr>
          <w:sz w:val="20"/>
        </w:rPr>
        <w:t xml:space="preserve">малого и среднего предпринимательства, созданным</w:t>
      </w:r>
    </w:p>
    <w:p>
      <w:pPr>
        <w:pStyle w:val="0"/>
        <w:jc w:val="right"/>
      </w:pPr>
      <w:r>
        <w:rPr>
          <w:sz w:val="20"/>
        </w:rPr>
        <w:t xml:space="preserve">физическими 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20.06.2022 </w:t>
            </w:r>
            <w:hyperlink w:history="0" r:id="rId27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color w:val="392c69"/>
              </w:rPr>
              <w:t xml:space="preserve">,</w:t>
            </w:r>
          </w:p>
          <w:p>
            <w:pPr>
              <w:pStyle w:val="0"/>
              <w:jc w:val="center"/>
            </w:pPr>
            <w:r>
              <w:rPr>
                <w:sz w:val="20"/>
                <w:color w:val="392c69"/>
              </w:rPr>
              <w:t xml:space="preserve">от 20.12.2022 </w:t>
            </w:r>
            <w:hyperlink w:history="0" r:id="rId274"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 от 09.10.2023 </w:t>
            </w:r>
            <w:hyperlink w:history="0" r:id="rId275"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18" w:name="P818"/>
    <w:bookmarkEnd w:id="818"/>
    <w:p>
      <w:pPr>
        <w:pStyle w:val="0"/>
        <w:jc w:val="center"/>
      </w:pPr>
      <w:r>
        <w:rPr>
          <w:sz w:val="20"/>
        </w:rPr>
        <w:t xml:space="preserve">ПРОЕКТ</w:t>
      </w:r>
    </w:p>
    <w:p>
      <w:pPr>
        <w:pStyle w:val="0"/>
        <w:jc w:val="center"/>
      </w:pPr>
      <w:r>
        <w:rPr>
          <w:sz w:val="20"/>
        </w:rPr>
        <w:t xml:space="preserve">в сфере социального предпринимательства</w:t>
      </w:r>
    </w:p>
    <w:p>
      <w:pPr>
        <w:pStyle w:val="0"/>
        <w:jc w:val="both"/>
      </w:pPr>
      <w:r>
        <w:rPr>
          <w:sz w:val="20"/>
        </w:rPr>
      </w:r>
    </w:p>
    <w:p>
      <w:pPr>
        <w:pStyle w:val="0"/>
        <w:jc w:val="center"/>
      </w:pPr>
      <w:r>
        <w:rPr>
          <w:sz w:val="20"/>
        </w:rPr>
        <w:t xml:space="preserve">___________________________________________________________</w:t>
      </w:r>
    </w:p>
    <w:p>
      <w:pPr>
        <w:pStyle w:val="0"/>
        <w:jc w:val="center"/>
      </w:pPr>
      <w:r>
        <w:rPr>
          <w:sz w:val="20"/>
        </w:rPr>
        <w:t xml:space="preserve">(наименование проекта)</w:t>
      </w:r>
    </w:p>
    <w:p>
      <w:pPr>
        <w:pStyle w:val="0"/>
        <w:jc w:val="both"/>
      </w:pPr>
      <w:r>
        <w:rPr>
          <w:sz w:val="20"/>
        </w:rPr>
      </w:r>
    </w:p>
    <w:p>
      <w:pPr>
        <w:pStyle w:val="0"/>
        <w:outlineLvl w:val="2"/>
        <w:jc w:val="center"/>
      </w:pPr>
      <w:r>
        <w:rPr>
          <w:sz w:val="20"/>
        </w:rPr>
        <w:t xml:space="preserve">I. Общие сведения об участнике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15"/>
        <w:gridCol w:w="2205"/>
      </w:tblGrid>
      <w:tr>
        <w:tc>
          <w:tcPr>
            <w:tcW w:w="6815" w:type="dxa"/>
          </w:tcPr>
          <w:p>
            <w:pPr>
              <w:pStyle w:val="0"/>
              <w:jc w:val="both"/>
            </w:pPr>
            <w:r>
              <w:rPr>
                <w:sz w:val="20"/>
              </w:rPr>
              <w:t xml:space="preserve">Наименование субъекта малого и среднего предпринимательства (полное и сокращенное наименование)</w:t>
            </w:r>
          </w:p>
        </w:tc>
        <w:tc>
          <w:tcPr>
            <w:tcW w:w="2205" w:type="dxa"/>
          </w:tcPr>
          <w:p>
            <w:pPr>
              <w:pStyle w:val="0"/>
            </w:pPr>
            <w:r>
              <w:rPr>
                <w:sz w:val="20"/>
              </w:rPr>
            </w:r>
          </w:p>
        </w:tc>
      </w:tr>
      <w:tr>
        <w:tc>
          <w:tcPr>
            <w:gridSpan w:val="2"/>
            <w:tcW w:w="9020" w:type="dxa"/>
          </w:tcPr>
          <w:p>
            <w:pPr>
              <w:pStyle w:val="0"/>
              <w:jc w:val="center"/>
            </w:pPr>
            <w:r>
              <w:rPr>
                <w:sz w:val="20"/>
              </w:rPr>
              <w:t xml:space="preserve">Реквизиты</w:t>
            </w:r>
          </w:p>
        </w:tc>
      </w:tr>
      <w:tr>
        <w:tc>
          <w:tcPr>
            <w:tcW w:w="6815" w:type="dxa"/>
          </w:tcPr>
          <w:p>
            <w:pPr>
              <w:pStyle w:val="0"/>
              <w:jc w:val="both"/>
            </w:pPr>
            <w:r>
              <w:rPr>
                <w:sz w:val="20"/>
              </w:rPr>
              <w:t xml:space="preserve">ИНН</w:t>
            </w:r>
          </w:p>
        </w:tc>
        <w:tc>
          <w:tcPr>
            <w:tcW w:w="2205" w:type="dxa"/>
          </w:tcPr>
          <w:p>
            <w:pPr>
              <w:pStyle w:val="0"/>
            </w:pPr>
            <w:r>
              <w:rPr>
                <w:sz w:val="20"/>
              </w:rPr>
            </w:r>
          </w:p>
        </w:tc>
      </w:tr>
      <w:tr>
        <w:tc>
          <w:tcPr>
            <w:tcW w:w="6815" w:type="dxa"/>
          </w:tcPr>
          <w:p>
            <w:pPr>
              <w:pStyle w:val="0"/>
              <w:jc w:val="both"/>
            </w:pPr>
            <w:r>
              <w:rPr>
                <w:sz w:val="20"/>
              </w:rPr>
              <w:t xml:space="preserve">КПП</w:t>
            </w:r>
          </w:p>
        </w:tc>
        <w:tc>
          <w:tcPr>
            <w:tcW w:w="2205" w:type="dxa"/>
          </w:tcPr>
          <w:p>
            <w:pPr>
              <w:pStyle w:val="0"/>
            </w:pPr>
            <w:r>
              <w:rPr>
                <w:sz w:val="20"/>
              </w:rPr>
            </w:r>
          </w:p>
        </w:tc>
      </w:tr>
      <w:tr>
        <w:tc>
          <w:tcPr>
            <w:tcW w:w="6815" w:type="dxa"/>
          </w:tcPr>
          <w:p>
            <w:pPr>
              <w:pStyle w:val="0"/>
              <w:jc w:val="both"/>
            </w:pPr>
            <w:r>
              <w:rPr>
                <w:sz w:val="20"/>
              </w:rPr>
              <w:t xml:space="preserve">Расчетный счет (открытый (имеющийся) в целях получения гранта)</w:t>
            </w:r>
          </w:p>
        </w:tc>
        <w:tc>
          <w:tcPr>
            <w:tcW w:w="2205" w:type="dxa"/>
          </w:tcPr>
          <w:p>
            <w:pPr>
              <w:pStyle w:val="0"/>
            </w:pPr>
            <w:r>
              <w:rPr>
                <w:sz w:val="20"/>
              </w:rPr>
            </w:r>
          </w:p>
        </w:tc>
      </w:tr>
      <w:tr>
        <w:tc>
          <w:tcPr>
            <w:tcW w:w="6815" w:type="dxa"/>
          </w:tcPr>
          <w:p>
            <w:pPr>
              <w:pStyle w:val="0"/>
              <w:jc w:val="both"/>
            </w:pPr>
            <w:r>
              <w:rPr>
                <w:sz w:val="20"/>
              </w:rPr>
              <w:t xml:space="preserve">Корреспондентский счет</w:t>
            </w:r>
          </w:p>
        </w:tc>
        <w:tc>
          <w:tcPr>
            <w:tcW w:w="2205" w:type="dxa"/>
          </w:tcPr>
          <w:p>
            <w:pPr>
              <w:pStyle w:val="0"/>
            </w:pPr>
            <w:r>
              <w:rPr>
                <w:sz w:val="20"/>
              </w:rPr>
            </w:r>
          </w:p>
        </w:tc>
      </w:tr>
      <w:tr>
        <w:tc>
          <w:tcPr>
            <w:tcW w:w="6815" w:type="dxa"/>
          </w:tcPr>
          <w:p>
            <w:pPr>
              <w:pStyle w:val="0"/>
              <w:jc w:val="both"/>
            </w:pPr>
            <w:r>
              <w:rPr>
                <w:sz w:val="20"/>
              </w:rPr>
              <w:t xml:space="preserve">БИК</w:t>
            </w:r>
          </w:p>
        </w:tc>
        <w:tc>
          <w:tcPr>
            <w:tcW w:w="2205" w:type="dxa"/>
          </w:tcPr>
          <w:p>
            <w:pPr>
              <w:pStyle w:val="0"/>
            </w:pPr>
            <w:r>
              <w:rPr>
                <w:sz w:val="20"/>
              </w:rPr>
            </w:r>
          </w:p>
        </w:tc>
      </w:tr>
      <w:tr>
        <w:tc>
          <w:tcPr>
            <w:tcW w:w="6815" w:type="dxa"/>
          </w:tcPr>
          <w:p>
            <w:pPr>
              <w:pStyle w:val="0"/>
              <w:jc w:val="both"/>
            </w:pPr>
            <w:r>
              <w:rPr>
                <w:sz w:val="20"/>
              </w:rPr>
              <w:t xml:space="preserve">Наименование банка</w:t>
            </w:r>
          </w:p>
        </w:tc>
        <w:tc>
          <w:tcPr>
            <w:tcW w:w="2205" w:type="dxa"/>
          </w:tcPr>
          <w:p>
            <w:pPr>
              <w:pStyle w:val="0"/>
            </w:pPr>
            <w:r>
              <w:rPr>
                <w:sz w:val="20"/>
              </w:rPr>
            </w:r>
          </w:p>
        </w:tc>
      </w:tr>
    </w:tbl>
    <w:p>
      <w:pPr>
        <w:pStyle w:val="0"/>
        <w:jc w:val="both"/>
      </w:pPr>
      <w:r>
        <w:rPr>
          <w:sz w:val="20"/>
        </w:rPr>
      </w:r>
    </w:p>
    <w:p>
      <w:pPr>
        <w:pStyle w:val="0"/>
        <w:outlineLvl w:val="2"/>
        <w:jc w:val="center"/>
      </w:pPr>
      <w:r>
        <w:rPr>
          <w:sz w:val="20"/>
        </w:rPr>
        <w:t xml:space="preserve">II. Общие сведения о проекте в сфере социального</w:t>
      </w:r>
    </w:p>
    <w:p>
      <w:pPr>
        <w:pStyle w:val="0"/>
        <w:jc w:val="center"/>
      </w:pPr>
      <w:r>
        <w:rPr>
          <w:sz w:val="20"/>
        </w:rPr>
        <w:t xml:space="preserve">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
        <w:gridCol w:w="4485"/>
        <w:gridCol w:w="2917"/>
        <w:gridCol w:w="1103"/>
      </w:tblGrid>
      <w:tr>
        <w:tc>
          <w:tcPr>
            <w:gridSpan w:val="2"/>
            <w:tcW w:w="5000" w:type="dxa"/>
            <w:vMerge w:val="restart"/>
          </w:tcPr>
          <w:p>
            <w:pPr>
              <w:pStyle w:val="0"/>
            </w:pPr>
            <w:r>
              <w:rPr>
                <w:sz w:val="20"/>
              </w:rPr>
              <w:t xml:space="preserve">Выбрать один из вариантов (поставить знак V)</w:t>
            </w:r>
          </w:p>
        </w:tc>
        <w:tc>
          <w:tcPr>
            <w:tcW w:w="2917" w:type="dxa"/>
          </w:tcPr>
          <w:p>
            <w:pPr>
              <w:pStyle w:val="0"/>
              <w:jc w:val="center"/>
            </w:pPr>
            <w:r>
              <w:rPr>
                <w:sz w:val="20"/>
              </w:rPr>
              <w:t xml:space="preserve">Реализация нового проекта в сфере социального</w:t>
            </w:r>
          </w:p>
        </w:tc>
        <w:tc>
          <w:tcPr>
            <w:tcW w:w="1103" w:type="dxa"/>
          </w:tcPr>
          <w:p>
            <w:pPr>
              <w:pStyle w:val="0"/>
            </w:pPr>
            <w:r>
              <w:rPr>
                <w:sz w:val="20"/>
              </w:rPr>
            </w:r>
          </w:p>
        </w:tc>
      </w:tr>
      <w:tr>
        <w:tc>
          <w:tcPr>
            <w:gridSpan w:val="2"/>
            <w:vMerge w:val="continue"/>
          </w:tcPr>
          <w:p/>
        </w:tc>
        <w:tc>
          <w:tcPr>
            <w:tcW w:w="2917" w:type="dxa"/>
          </w:tcPr>
          <w:p>
            <w:pPr>
              <w:pStyle w:val="0"/>
              <w:jc w:val="center"/>
            </w:pPr>
            <w:r>
              <w:rPr>
                <w:sz w:val="20"/>
              </w:rPr>
              <w:t xml:space="preserve">Расширение своей деятельности при реализации ранее созданного проекта в сфере социального предпринимательства</w:t>
            </w:r>
          </w:p>
        </w:tc>
        <w:tc>
          <w:tcPr>
            <w:tcW w:w="1103" w:type="dxa"/>
          </w:tcPr>
          <w:p>
            <w:pPr>
              <w:pStyle w:val="0"/>
            </w:pPr>
            <w:r>
              <w:rPr>
                <w:sz w:val="20"/>
              </w:rPr>
            </w:r>
          </w:p>
        </w:tc>
      </w:tr>
      <w:tr>
        <w:tc>
          <w:tcPr>
            <w:gridSpan w:val="2"/>
            <w:tcW w:w="5000" w:type="dxa"/>
          </w:tcPr>
          <w:p>
            <w:pPr>
              <w:pStyle w:val="0"/>
            </w:pPr>
            <w:r>
              <w:rPr>
                <w:sz w:val="20"/>
              </w:rPr>
              <w:t xml:space="preserve">Место реализации проекта</w:t>
            </w:r>
          </w:p>
        </w:tc>
        <w:tc>
          <w:tcPr>
            <w:gridSpan w:val="2"/>
            <w:tcW w:w="4020" w:type="dxa"/>
          </w:tcPr>
          <w:p>
            <w:pPr>
              <w:pStyle w:val="0"/>
            </w:pPr>
            <w:r>
              <w:rPr>
                <w:sz w:val="20"/>
              </w:rPr>
            </w:r>
          </w:p>
        </w:tc>
      </w:tr>
      <w:tr>
        <w:tc>
          <w:tcPr>
            <w:gridSpan w:val="4"/>
            <w:tcW w:w="9020" w:type="dxa"/>
          </w:tcPr>
          <w:p>
            <w:pPr>
              <w:pStyle w:val="0"/>
            </w:pPr>
            <w:r>
              <w:rPr>
                <w:sz w:val="20"/>
              </w:rPr>
              <w:t xml:space="preserve">Период реализации проекта</w:t>
            </w:r>
          </w:p>
        </w:tc>
      </w:tr>
      <w:tr>
        <w:tc>
          <w:tcPr>
            <w:tcW w:w="515" w:type="dxa"/>
          </w:tcPr>
          <w:p>
            <w:pPr>
              <w:pStyle w:val="0"/>
              <w:jc w:val="center"/>
            </w:pPr>
            <w:r>
              <w:rPr>
                <w:sz w:val="20"/>
              </w:rPr>
              <w:t xml:space="preserve">1.</w:t>
            </w:r>
          </w:p>
        </w:tc>
        <w:tc>
          <w:tcPr>
            <w:tcW w:w="4485" w:type="dxa"/>
          </w:tcPr>
          <w:p>
            <w:pPr>
              <w:pStyle w:val="0"/>
            </w:pPr>
            <w:r>
              <w:rPr>
                <w:sz w:val="20"/>
              </w:rPr>
              <w:t xml:space="preserve">Дата начала реализации</w:t>
            </w:r>
          </w:p>
        </w:tc>
        <w:tc>
          <w:tcPr>
            <w:gridSpan w:val="2"/>
            <w:tcW w:w="4020" w:type="dxa"/>
          </w:tcPr>
          <w:p>
            <w:pPr>
              <w:pStyle w:val="0"/>
            </w:pPr>
            <w:r>
              <w:rPr>
                <w:sz w:val="20"/>
              </w:rPr>
            </w:r>
          </w:p>
        </w:tc>
      </w:tr>
      <w:tr>
        <w:tc>
          <w:tcPr>
            <w:tcW w:w="515" w:type="dxa"/>
          </w:tcPr>
          <w:p>
            <w:pPr>
              <w:pStyle w:val="0"/>
              <w:jc w:val="center"/>
            </w:pPr>
            <w:r>
              <w:rPr>
                <w:sz w:val="20"/>
              </w:rPr>
              <w:t xml:space="preserve">2.</w:t>
            </w:r>
          </w:p>
        </w:tc>
        <w:tc>
          <w:tcPr>
            <w:tcW w:w="4485" w:type="dxa"/>
          </w:tcPr>
          <w:p>
            <w:pPr>
              <w:pStyle w:val="0"/>
            </w:pPr>
            <w:r>
              <w:rPr>
                <w:sz w:val="20"/>
              </w:rPr>
              <w:t xml:space="preserve">Дата завершения проекта</w:t>
            </w:r>
          </w:p>
        </w:tc>
        <w:tc>
          <w:tcPr>
            <w:gridSpan w:val="2"/>
            <w:tcW w:w="4020" w:type="dxa"/>
          </w:tcPr>
          <w:p>
            <w:pPr>
              <w:pStyle w:val="0"/>
            </w:pPr>
            <w:r>
              <w:rPr>
                <w:sz w:val="20"/>
              </w:rPr>
            </w:r>
          </w:p>
        </w:tc>
      </w:tr>
      <w:tr>
        <w:tc>
          <w:tcPr>
            <w:gridSpan w:val="2"/>
            <w:tcW w:w="5000" w:type="dxa"/>
          </w:tcPr>
          <w:p>
            <w:pPr>
              <w:pStyle w:val="0"/>
            </w:pPr>
            <w:r>
              <w:rPr>
                <w:sz w:val="20"/>
              </w:rPr>
              <w:t xml:space="preserve">Общая стоимость проекта, руб.</w:t>
            </w:r>
          </w:p>
        </w:tc>
        <w:tc>
          <w:tcPr>
            <w:gridSpan w:val="2"/>
            <w:tcW w:w="4020" w:type="dxa"/>
          </w:tcPr>
          <w:p>
            <w:pPr>
              <w:pStyle w:val="0"/>
            </w:pPr>
            <w:r>
              <w:rPr>
                <w:sz w:val="20"/>
              </w:rPr>
            </w:r>
          </w:p>
        </w:tc>
      </w:tr>
      <w:tr>
        <w:tc>
          <w:tcPr>
            <w:gridSpan w:val="4"/>
            <w:tcW w:w="9020" w:type="dxa"/>
          </w:tcPr>
          <w:p>
            <w:pPr>
              <w:pStyle w:val="0"/>
            </w:pPr>
            <w:r>
              <w:rPr>
                <w:sz w:val="20"/>
              </w:rPr>
              <w:t xml:space="preserve">В том числе:</w:t>
            </w:r>
          </w:p>
        </w:tc>
      </w:tr>
      <w:tr>
        <w:tc>
          <w:tcPr>
            <w:gridSpan w:val="2"/>
            <w:tcW w:w="5000" w:type="dxa"/>
          </w:tcPr>
          <w:p>
            <w:pPr>
              <w:pStyle w:val="0"/>
            </w:pPr>
            <w:r>
              <w:rPr>
                <w:sz w:val="20"/>
              </w:rPr>
              <w:t xml:space="preserve">Собственные средства</w:t>
            </w:r>
          </w:p>
        </w:tc>
        <w:tc>
          <w:tcPr>
            <w:gridSpan w:val="2"/>
            <w:tcW w:w="4020" w:type="dxa"/>
          </w:tcPr>
          <w:p>
            <w:pPr>
              <w:pStyle w:val="0"/>
            </w:pPr>
            <w:r>
              <w:rPr>
                <w:sz w:val="20"/>
              </w:rPr>
            </w:r>
          </w:p>
        </w:tc>
      </w:tr>
      <w:tr>
        <w:tc>
          <w:tcPr>
            <w:gridSpan w:val="2"/>
            <w:tcW w:w="5000" w:type="dxa"/>
          </w:tcPr>
          <w:p>
            <w:pPr>
              <w:pStyle w:val="0"/>
            </w:pPr>
            <w:r>
              <w:rPr>
                <w:sz w:val="20"/>
              </w:rPr>
              <w:t xml:space="preserve">Заемные средства</w:t>
            </w:r>
          </w:p>
        </w:tc>
        <w:tc>
          <w:tcPr>
            <w:gridSpan w:val="2"/>
            <w:tcW w:w="4020" w:type="dxa"/>
          </w:tcPr>
          <w:p>
            <w:pPr>
              <w:pStyle w:val="0"/>
            </w:pPr>
            <w:r>
              <w:rPr>
                <w:sz w:val="20"/>
              </w:rPr>
            </w:r>
          </w:p>
        </w:tc>
      </w:tr>
      <w:tr>
        <w:tc>
          <w:tcPr>
            <w:gridSpan w:val="2"/>
            <w:tcW w:w="5000" w:type="dxa"/>
          </w:tcPr>
          <w:p>
            <w:pPr>
              <w:pStyle w:val="0"/>
            </w:pPr>
            <w:r>
              <w:rPr>
                <w:sz w:val="20"/>
              </w:rPr>
              <w:t xml:space="preserve">Средства гранта</w:t>
            </w:r>
          </w:p>
        </w:tc>
        <w:tc>
          <w:tcPr>
            <w:gridSpan w:val="2"/>
            <w:tcW w:w="4020" w:type="dxa"/>
          </w:tcPr>
          <w:p>
            <w:pPr>
              <w:pStyle w:val="0"/>
            </w:pPr>
            <w:r>
              <w:rPr>
                <w:sz w:val="20"/>
              </w:rPr>
            </w:r>
          </w:p>
        </w:tc>
      </w:tr>
      <w:tr>
        <w:tc>
          <w:tcPr>
            <w:gridSpan w:val="2"/>
            <w:tcW w:w="5000" w:type="dxa"/>
          </w:tcPr>
          <w:p>
            <w:pPr>
              <w:pStyle w:val="0"/>
              <w:jc w:val="both"/>
            </w:pPr>
            <w:r>
              <w:rPr>
                <w:sz w:val="20"/>
              </w:rPr>
              <w:t xml:space="preserve">Наличие собственной материально-технической, ресурсной базы для реализации проекта, подтвержденной документально </w:t>
            </w:r>
            <w:hyperlink w:history="0" w:anchor="P1068" w:tooltip="&lt;1&gt; В целях подтверждения наличия собственной материально-технической, ресурсной базы для реализации проекта в сфере социального предпринимательства участник отбора предоставляет по желанию подтверждающие документы (копии документов на приобретение основных средств, на аренду помещений, земельных участков, на поставку сырья и материалов и др.).">
              <w:r>
                <w:rPr>
                  <w:sz w:val="20"/>
                  <w:color w:val="0000ff"/>
                </w:rPr>
                <w:t xml:space="preserve">&lt;1&gt;</w:t>
              </w:r>
            </w:hyperlink>
          </w:p>
        </w:tc>
        <w:tc>
          <w:tcPr>
            <w:gridSpan w:val="2"/>
            <w:tcW w:w="4020" w:type="dxa"/>
          </w:tcPr>
          <w:p>
            <w:pPr>
              <w:pStyle w:val="0"/>
            </w:pPr>
            <w:r>
              <w:rPr>
                <w:sz w:val="20"/>
              </w:rPr>
            </w:r>
          </w:p>
        </w:tc>
      </w:tr>
      <w:tr>
        <w:tc>
          <w:tcPr>
            <w:gridSpan w:val="2"/>
            <w:tcW w:w="5000" w:type="dxa"/>
          </w:tcPr>
          <w:p>
            <w:pPr>
              <w:pStyle w:val="0"/>
              <w:jc w:val="both"/>
            </w:pPr>
            <w:r>
              <w:rPr>
                <w:sz w:val="20"/>
              </w:rPr>
              <w:t xml:space="preserve">Численность сотрудников предприятия на дату подачи заявочных документов</w:t>
            </w:r>
          </w:p>
        </w:tc>
        <w:tc>
          <w:tcPr>
            <w:gridSpan w:val="2"/>
            <w:tcW w:w="4020" w:type="dxa"/>
          </w:tcPr>
          <w:p>
            <w:pPr>
              <w:pStyle w:val="0"/>
            </w:pPr>
            <w:r>
              <w:rPr>
                <w:sz w:val="20"/>
              </w:rPr>
            </w:r>
          </w:p>
        </w:tc>
      </w:tr>
    </w:tbl>
    <w:p>
      <w:pPr>
        <w:pStyle w:val="0"/>
        <w:jc w:val="both"/>
      </w:pPr>
      <w:r>
        <w:rPr>
          <w:sz w:val="20"/>
        </w:rPr>
      </w:r>
    </w:p>
    <w:p>
      <w:pPr>
        <w:pStyle w:val="1"/>
        <w:jc w:val="both"/>
      </w:pPr>
      <w:r>
        <w:rPr>
          <w:sz w:val="20"/>
        </w:rPr>
        <w:t xml:space="preserve">  III. Цели и задачи проекта в сфере социального предпринимательства </w:t>
      </w:r>
      <w:hyperlink w:history="0" w:anchor="P1069" w:tooltip="&lt;2&gt; В разделе описывается цель данного проекта для субъекта МСП, обосновывается необходимость реализации проекта для субъекта предпринимательства, а также задачи проекта (перечислить перечень мероприятий, которые необходимо выполнить для достижения целей проекта). Данный перечень должен сопоставляться с планом реализации проекта в сфере социального предпринимательства.">
        <w:r>
          <w:rPr>
            <w:sz w:val="20"/>
            <w:color w:val="0000ff"/>
          </w:rPr>
          <w:t xml:space="preserve">&lt;2&gt;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IV. Сведения об используемой технологии </w:t>
      </w:r>
      <w:hyperlink w:history="0" w:anchor="P1070" w:tooltip="&lt;3&gt; Сведения об используемой технологии: описываются основные этапы и процессы производства товаров (оказания услуг, выполнения работ) в рамках реализации проекта, эффект (создание нового продукта/услуги, импортозамещение).">
        <w:r>
          <w:rPr>
            <w:sz w:val="20"/>
            <w:color w:val="0000ff"/>
          </w:rPr>
          <w:t xml:space="preserve">&lt;3&gt;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V. Сырье и материалы, необходимые для реализации проекта в сфере</w:t>
      </w:r>
    </w:p>
    <w:p>
      <w:pPr>
        <w:pStyle w:val="1"/>
        <w:jc w:val="both"/>
      </w:pPr>
      <w:r>
        <w:rPr>
          <w:sz w:val="20"/>
        </w:rPr>
        <w:t xml:space="preserve">                    социального предпринимательства </w:t>
      </w:r>
      <w:hyperlink w:history="0" w:anchor="P1071" w:tooltip="&lt;4&gt; Раздел &quot;сырье и материалы&quot;, содержащий сведения о материальных ресурсах, необходимых для реализации проекта, о возможных поставщиках сырья и материалов (наименование поставщика, условия поставок), прогнозных ценах на сырье и материалы, риски и ограничения проекта, обусловленные материальными ресурсами, необходимыми для реализации проекта.">
        <w:r>
          <w:rPr>
            <w:sz w:val="20"/>
            <w:color w:val="0000ff"/>
          </w:rPr>
          <w:t xml:space="preserve">&lt;4&gt;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VI. Сведения о персонале, планируемом к привлечению в целях реализации</w:t>
      </w:r>
    </w:p>
    <w:p>
      <w:pPr>
        <w:pStyle w:val="1"/>
        <w:jc w:val="both"/>
      </w:pPr>
      <w:r>
        <w:rPr>
          <w:sz w:val="20"/>
        </w:rPr>
        <w:t xml:space="preserve">                                проекта </w:t>
      </w:r>
      <w:hyperlink w:history="0" w:anchor="P1072" w:tooltip="&lt;5&gt; Сведения о персонале, планируемом к привлечению в целях реализации проекта. При необходимости привлечения в проект специалистов с уникальной квалификацией указываются источники формирования и (или) обучения кадров с указанием опыта их работы в соответствующей сфере. В целях подтверждения квалификации персонала могут быть предоставлены подтверждающие документы (копии документов по основному персоналу, реализующему проект: дипломов, сертификатов и др.) вместе с согласием на обработку персональных данны...">
        <w:r>
          <w:rPr>
            <w:sz w:val="20"/>
            <w:color w:val="0000ff"/>
          </w:rPr>
          <w:t xml:space="preserve">&lt;5&gt;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VII. Исследование потенциала сбыта продукции (услуг, работ),</w:t>
      </w:r>
    </w:p>
    <w:p>
      <w:pPr>
        <w:pStyle w:val="1"/>
        <w:jc w:val="both"/>
      </w:pPr>
      <w:r>
        <w:rPr>
          <w:sz w:val="20"/>
        </w:rPr>
        <w:t xml:space="preserve">                              окупаемость </w:t>
      </w:r>
      <w:hyperlink w:history="0" w:anchor="P1073" w:tooltip="&lt;6&gt; Исследование потенциала сбыта продукции (услуг, работ): характеристика, описание уникальных свойств (при наличии) продукции (услуг, работ), оценка возможного объема рынка (регионального, российского, мирового), прогноз развития продукта и рынка сбыта на период реализации проекта, описание основных компаний - конкурентов на рынке, основных продуктов - конкурентов, прогноз объемов производства и продаж, цен по видам продукции (услуг, работ) на каждый год реализации проекта, окупаемость проекта.">
        <w:r>
          <w:rPr>
            <w:sz w:val="20"/>
            <w:color w:val="0000ff"/>
          </w:rPr>
          <w:t xml:space="preserve">&lt;6&gt;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VIII. План реализации проекта в сфере социального 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9"/>
        <w:gridCol w:w="2841"/>
        <w:gridCol w:w="1962"/>
        <w:gridCol w:w="2227"/>
        <w:gridCol w:w="1644"/>
      </w:tblGrid>
      <w:tr>
        <w:tc>
          <w:tcPr>
            <w:tcW w:w="389" w:type="dxa"/>
          </w:tcPr>
          <w:p>
            <w:pPr>
              <w:pStyle w:val="0"/>
              <w:jc w:val="center"/>
            </w:pPr>
            <w:r>
              <w:rPr>
                <w:sz w:val="20"/>
              </w:rPr>
              <w:t xml:space="preserve">N</w:t>
            </w:r>
          </w:p>
        </w:tc>
        <w:tc>
          <w:tcPr>
            <w:tcW w:w="2841" w:type="dxa"/>
          </w:tcPr>
          <w:p>
            <w:pPr>
              <w:pStyle w:val="0"/>
              <w:jc w:val="center"/>
            </w:pPr>
            <w:r>
              <w:rPr>
                <w:sz w:val="20"/>
              </w:rPr>
              <w:t xml:space="preserve">Наименование мероприятия проекта</w:t>
            </w:r>
          </w:p>
        </w:tc>
        <w:tc>
          <w:tcPr>
            <w:tcW w:w="1962" w:type="dxa"/>
          </w:tcPr>
          <w:p>
            <w:pPr>
              <w:pStyle w:val="0"/>
              <w:jc w:val="center"/>
            </w:pPr>
            <w:r>
              <w:rPr>
                <w:sz w:val="20"/>
              </w:rPr>
              <w:t xml:space="preserve">Начало реализации мероприятия проекта</w:t>
            </w:r>
          </w:p>
        </w:tc>
        <w:tc>
          <w:tcPr>
            <w:tcW w:w="2227" w:type="dxa"/>
          </w:tcPr>
          <w:p>
            <w:pPr>
              <w:pStyle w:val="0"/>
              <w:jc w:val="center"/>
            </w:pPr>
            <w:r>
              <w:rPr>
                <w:sz w:val="20"/>
              </w:rPr>
              <w:t xml:space="preserve">Итоговые сроки реализации мероприятия проекта</w:t>
            </w:r>
          </w:p>
        </w:tc>
        <w:tc>
          <w:tcPr>
            <w:tcW w:w="1644" w:type="dxa"/>
          </w:tcPr>
          <w:p>
            <w:pPr>
              <w:pStyle w:val="0"/>
              <w:jc w:val="center"/>
            </w:pPr>
            <w:r>
              <w:rPr>
                <w:sz w:val="20"/>
              </w:rPr>
              <w:t xml:space="preserve">Результат</w:t>
            </w:r>
          </w:p>
        </w:tc>
      </w:tr>
      <w:tr>
        <w:tc>
          <w:tcPr>
            <w:tcW w:w="389" w:type="dxa"/>
          </w:tcPr>
          <w:p>
            <w:pPr>
              <w:pStyle w:val="0"/>
            </w:pPr>
            <w:r>
              <w:rPr>
                <w:sz w:val="20"/>
              </w:rPr>
            </w:r>
          </w:p>
        </w:tc>
        <w:tc>
          <w:tcPr>
            <w:tcW w:w="2841" w:type="dxa"/>
          </w:tcPr>
          <w:p>
            <w:pPr>
              <w:pStyle w:val="0"/>
            </w:pPr>
            <w:r>
              <w:rPr>
                <w:sz w:val="20"/>
              </w:rPr>
            </w:r>
          </w:p>
        </w:tc>
        <w:tc>
          <w:tcPr>
            <w:tcW w:w="1962" w:type="dxa"/>
          </w:tcPr>
          <w:p>
            <w:pPr>
              <w:pStyle w:val="0"/>
            </w:pPr>
            <w:r>
              <w:rPr>
                <w:sz w:val="20"/>
              </w:rPr>
            </w:r>
          </w:p>
        </w:tc>
        <w:tc>
          <w:tcPr>
            <w:tcW w:w="2227" w:type="dxa"/>
          </w:tcPr>
          <w:p>
            <w:pPr>
              <w:pStyle w:val="0"/>
            </w:pPr>
            <w:r>
              <w:rPr>
                <w:sz w:val="20"/>
              </w:rPr>
            </w:r>
          </w:p>
        </w:tc>
        <w:tc>
          <w:tcPr>
            <w:tcW w:w="1644" w:type="dxa"/>
          </w:tcPr>
          <w:p>
            <w:pPr>
              <w:pStyle w:val="0"/>
            </w:pPr>
            <w:r>
              <w:rPr>
                <w:sz w:val="20"/>
              </w:rPr>
            </w:r>
          </w:p>
        </w:tc>
      </w:tr>
      <w:tr>
        <w:tc>
          <w:tcPr>
            <w:tcW w:w="389" w:type="dxa"/>
          </w:tcPr>
          <w:p>
            <w:pPr>
              <w:pStyle w:val="0"/>
            </w:pPr>
            <w:r>
              <w:rPr>
                <w:sz w:val="20"/>
              </w:rPr>
            </w:r>
          </w:p>
        </w:tc>
        <w:tc>
          <w:tcPr>
            <w:tcW w:w="2841" w:type="dxa"/>
          </w:tcPr>
          <w:p>
            <w:pPr>
              <w:pStyle w:val="0"/>
            </w:pPr>
            <w:r>
              <w:rPr>
                <w:sz w:val="20"/>
              </w:rPr>
            </w:r>
          </w:p>
        </w:tc>
        <w:tc>
          <w:tcPr>
            <w:tcW w:w="1962" w:type="dxa"/>
          </w:tcPr>
          <w:p>
            <w:pPr>
              <w:pStyle w:val="0"/>
            </w:pPr>
            <w:r>
              <w:rPr>
                <w:sz w:val="20"/>
              </w:rPr>
            </w:r>
          </w:p>
        </w:tc>
        <w:tc>
          <w:tcPr>
            <w:tcW w:w="2227" w:type="dxa"/>
          </w:tcPr>
          <w:p>
            <w:pPr>
              <w:pStyle w:val="0"/>
            </w:pPr>
            <w:r>
              <w:rPr>
                <w:sz w:val="20"/>
              </w:rPr>
            </w:r>
          </w:p>
        </w:tc>
        <w:tc>
          <w:tcPr>
            <w:tcW w:w="1644" w:type="dxa"/>
          </w:tcPr>
          <w:p>
            <w:pPr>
              <w:pStyle w:val="0"/>
            </w:pPr>
            <w:r>
              <w:rPr>
                <w:sz w:val="20"/>
              </w:rPr>
            </w:r>
          </w:p>
        </w:tc>
      </w:tr>
    </w:tbl>
    <w:p>
      <w:pPr>
        <w:pStyle w:val="0"/>
        <w:jc w:val="both"/>
      </w:pPr>
      <w:r>
        <w:rPr>
          <w:sz w:val="20"/>
        </w:rPr>
      </w:r>
    </w:p>
    <w:p>
      <w:pPr>
        <w:pStyle w:val="0"/>
        <w:outlineLvl w:val="2"/>
        <w:jc w:val="center"/>
      </w:pPr>
      <w:r>
        <w:rPr>
          <w:sz w:val="20"/>
        </w:rPr>
        <w:t xml:space="preserve">IX. План расходования средств с финансово-экономическим</w:t>
      </w:r>
    </w:p>
    <w:p>
      <w:pPr>
        <w:pStyle w:val="0"/>
        <w:jc w:val="center"/>
      </w:pPr>
      <w:r>
        <w:rPr>
          <w:sz w:val="20"/>
        </w:rPr>
        <w:t xml:space="preserve">обоснованием затрат на реализацию социально значимого</w:t>
      </w:r>
    </w:p>
    <w:p>
      <w:pPr>
        <w:pStyle w:val="0"/>
        <w:jc w:val="center"/>
      </w:pPr>
      <w:r>
        <w:rPr>
          <w:sz w:val="20"/>
        </w:rPr>
        <w:t xml:space="preserve">проекта </w:t>
      </w:r>
      <w:hyperlink w:history="0" w:anchor="P1074" w:tooltip="&lt;7&gt; План расходования средств должен включать в себя исключительно расходы, указанные в пунктах 3.7.1, 3.7.2 настоящего Порядка, без учета (за исключением) налога на добавленную стоимость (далее - НДС).">
        <w:r>
          <w:rPr>
            <w:sz w:val="20"/>
            <w:color w:val="0000ff"/>
          </w:rPr>
          <w:t xml:space="preserve">&lt;7&gt;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417"/>
        <w:gridCol w:w="1134"/>
        <w:gridCol w:w="900"/>
        <w:gridCol w:w="1184"/>
        <w:gridCol w:w="1768"/>
      </w:tblGrid>
      <w:tr>
        <w:tc>
          <w:tcPr>
            <w:tcW w:w="2665" w:type="dxa"/>
            <w:vMerge w:val="restart"/>
          </w:tcPr>
          <w:p>
            <w:pPr>
              <w:pStyle w:val="0"/>
              <w:jc w:val="center"/>
            </w:pPr>
            <w:r>
              <w:rPr>
                <w:sz w:val="20"/>
              </w:rPr>
              <w:t xml:space="preserve">Наименование статьи затрат</w:t>
            </w:r>
          </w:p>
        </w:tc>
        <w:tc>
          <w:tcPr>
            <w:tcW w:w="1417" w:type="dxa"/>
            <w:vMerge w:val="restart"/>
          </w:tcPr>
          <w:p>
            <w:pPr>
              <w:pStyle w:val="0"/>
              <w:jc w:val="center"/>
            </w:pPr>
            <w:r>
              <w:rPr>
                <w:sz w:val="20"/>
              </w:rPr>
              <w:t xml:space="preserve">Количество</w:t>
            </w:r>
          </w:p>
        </w:tc>
        <w:tc>
          <w:tcPr>
            <w:tcW w:w="1134" w:type="dxa"/>
            <w:vMerge w:val="restart"/>
          </w:tcPr>
          <w:p>
            <w:pPr>
              <w:pStyle w:val="0"/>
              <w:jc w:val="center"/>
            </w:pPr>
            <w:r>
              <w:rPr>
                <w:sz w:val="20"/>
              </w:rPr>
              <w:t xml:space="preserve">Цена единицы, рублей</w:t>
            </w:r>
          </w:p>
        </w:tc>
        <w:tc>
          <w:tcPr>
            <w:gridSpan w:val="3"/>
            <w:tcW w:w="3852" w:type="dxa"/>
          </w:tcPr>
          <w:p>
            <w:pPr>
              <w:pStyle w:val="0"/>
              <w:jc w:val="center"/>
            </w:pPr>
            <w:r>
              <w:rPr>
                <w:sz w:val="20"/>
              </w:rPr>
              <w:t xml:space="preserve">Сумма затрат, рублей </w:t>
            </w:r>
            <w:hyperlink w:history="0" w:anchor="P1074" w:tooltip="&lt;7&gt; План расходования средств должен включать в себя исключительно расходы, указанные в пунктах 3.7.1, 3.7.2 настоящего Порядка, без учета (за исключением) налога на добавленную стоимость (далее - НДС).">
              <w:r>
                <w:rPr>
                  <w:sz w:val="20"/>
                  <w:color w:val="0000ff"/>
                </w:rPr>
                <w:t xml:space="preserve">&lt;7&gt;</w:t>
              </w:r>
            </w:hyperlink>
          </w:p>
        </w:tc>
      </w:tr>
      <w:tr>
        <w:tc>
          <w:tcPr>
            <w:vMerge w:val="continue"/>
          </w:tcPr>
          <w:p/>
        </w:tc>
        <w:tc>
          <w:tcPr>
            <w:vMerge w:val="continue"/>
          </w:tcPr>
          <w:p/>
        </w:tc>
        <w:tc>
          <w:tcPr>
            <w:vMerge w:val="continue"/>
          </w:tcPr>
          <w:p/>
        </w:tc>
        <w:tc>
          <w:tcPr>
            <w:tcW w:w="900" w:type="dxa"/>
            <w:vMerge w:val="restart"/>
          </w:tcPr>
          <w:p>
            <w:pPr>
              <w:pStyle w:val="0"/>
              <w:jc w:val="center"/>
            </w:pPr>
            <w:r>
              <w:rPr>
                <w:sz w:val="20"/>
              </w:rPr>
              <w:t xml:space="preserve">всего</w:t>
            </w:r>
          </w:p>
        </w:tc>
        <w:tc>
          <w:tcPr>
            <w:gridSpan w:val="2"/>
            <w:tcW w:w="2952"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184" w:type="dxa"/>
          </w:tcPr>
          <w:p>
            <w:pPr>
              <w:pStyle w:val="0"/>
              <w:jc w:val="center"/>
            </w:pPr>
            <w:r>
              <w:rPr>
                <w:sz w:val="20"/>
              </w:rPr>
              <w:t xml:space="preserve">средства гранта</w:t>
            </w:r>
          </w:p>
        </w:tc>
        <w:tc>
          <w:tcPr>
            <w:tcW w:w="1768" w:type="dxa"/>
          </w:tcPr>
          <w:p>
            <w:pPr>
              <w:pStyle w:val="0"/>
              <w:jc w:val="center"/>
            </w:pPr>
            <w:r>
              <w:rPr>
                <w:sz w:val="20"/>
              </w:rPr>
              <w:t xml:space="preserve">собственные и заемные средства (не менее 25%)</w:t>
            </w:r>
          </w:p>
        </w:tc>
      </w:tr>
      <w:tr>
        <w:tc>
          <w:tcPr>
            <w:tcW w:w="2665" w:type="dxa"/>
          </w:tcPr>
          <w:p>
            <w:pPr>
              <w:pStyle w:val="0"/>
              <w:jc w:val="center"/>
            </w:pPr>
            <w:r>
              <w:rPr>
                <w:sz w:val="20"/>
              </w:rPr>
              <w:t xml:space="preserve">1</w:t>
            </w:r>
          </w:p>
        </w:tc>
        <w:tc>
          <w:tcPr>
            <w:tcW w:w="1417" w:type="dxa"/>
          </w:tcPr>
          <w:p>
            <w:pPr>
              <w:pStyle w:val="0"/>
              <w:jc w:val="center"/>
            </w:pPr>
            <w:r>
              <w:rPr>
                <w:sz w:val="20"/>
              </w:rPr>
              <w:t xml:space="preserve">2</w:t>
            </w:r>
          </w:p>
        </w:tc>
        <w:tc>
          <w:tcPr>
            <w:tcW w:w="1134" w:type="dxa"/>
          </w:tcPr>
          <w:p>
            <w:pPr>
              <w:pStyle w:val="0"/>
              <w:jc w:val="center"/>
            </w:pPr>
            <w:r>
              <w:rPr>
                <w:sz w:val="20"/>
              </w:rPr>
              <w:t xml:space="preserve">3</w:t>
            </w:r>
          </w:p>
        </w:tc>
        <w:tc>
          <w:tcPr>
            <w:tcW w:w="900" w:type="dxa"/>
          </w:tcPr>
          <w:p>
            <w:pPr>
              <w:pStyle w:val="0"/>
              <w:jc w:val="center"/>
            </w:pPr>
            <w:r>
              <w:rPr>
                <w:sz w:val="20"/>
              </w:rPr>
              <w:t xml:space="preserve">4</w:t>
            </w:r>
          </w:p>
        </w:tc>
        <w:tc>
          <w:tcPr>
            <w:tcW w:w="1184" w:type="dxa"/>
          </w:tcPr>
          <w:p>
            <w:pPr>
              <w:pStyle w:val="0"/>
              <w:jc w:val="center"/>
            </w:pPr>
            <w:r>
              <w:rPr>
                <w:sz w:val="20"/>
              </w:rPr>
              <w:t xml:space="preserve">5</w:t>
            </w:r>
          </w:p>
        </w:tc>
        <w:tc>
          <w:tcPr>
            <w:tcW w:w="1768" w:type="dxa"/>
          </w:tcPr>
          <w:p>
            <w:pPr>
              <w:pStyle w:val="0"/>
              <w:jc w:val="center"/>
            </w:pPr>
            <w:r>
              <w:rPr>
                <w:sz w:val="20"/>
              </w:rPr>
              <w:t xml:space="preserve">6</w:t>
            </w:r>
          </w:p>
        </w:tc>
      </w:tr>
      <w:tr>
        <w:tc>
          <w:tcPr>
            <w:gridSpan w:val="6"/>
            <w:tcW w:w="9068" w:type="dxa"/>
          </w:tcPr>
          <w:p>
            <w:pPr>
              <w:pStyle w:val="0"/>
              <w:jc w:val="center"/>
            </w:pPr>
            <w:r>
              <w:rPr>
                <w:sz w:val="20"/>
              </w:rPr>
              <w:t xml:space="preserve">Направления расходов на реализацию социального проекта</w:t>
            </w:r>
          </w:p>
        </w:tc>
      </w:tr>
      <w:tr>
        <w:tc>
          <w:tcPr>
            <w:gridSpan w:val="6"/>
            <w:tcW w:w="9068" w:type="dxa"/>
          </w:tcPr>
          <w:p>
            <w:pPr>
              <w:pStyle w:val="0"/>
              <w:jc w:val="center"/>
            </w:pPr>
            <w:r>
              <w:rPr>
                <w:sz w:val="20"/>
              </w:rPr>
              <w:t xml:space="preserve">1. Аренда нежилого помещения</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2. Ремонт нежилого помещения, включая приобретение строительных материалов, оборудования, необходимого для ремонта помещения</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3. Аренда и (или) приобретение оргтехники, оборудования (в том числе инвентаря, мебели)</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4. Выплата по передаче прав на франшизу (паушальный платеж)</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6. Оплата коммунальных услуг и услуг электроснабжения</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7. Оформление результатов интеллектуальной деятельности</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8. Приобретение основных средств (за исключением приобретения зданий, сооружений, земельных участков, автомобилей)</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9. Переоборудование транспортных средств для перевозки маломобильных групп населения, в том числе инвалидов</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10. Оплата услуг связи, в том числе информационно-телекоммуникационной сети "Интернет"</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11. Оплата услуг по созданию, технической поддержке, наполнению, развитию и продвижению в средствах массовой информации</w:t>
            </w:r>
          </w:p>
          <w:p>
            <w:pPr>
              <w:pStyle w:val="0"/>
              <w:jc w:val="center"/>
            </w:pPr>
            <w:r>
              <w:rPr>
                <w:sz w:val="20"/>
              </w:rPr>
              <w:t xml:space="preserve">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w:t>
            </w:r>
          </w:p>
          <w:p>
            <w:pPr>
              <w:pStyle w:val="0"/>
              <w:jc w:val="center"/>
            </w:pPr>
            <w:r>
              <w:rPr>
                <w:sz w:val="20"/>
              </w:rPr>
              <w:t xml:space="preserve">на поисковую оптимизацию, услуги/работы по модернизации сайта и аккаунтов в социальных сетях)</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12. Приобретение программного обеспечения и неисключительных прав</w:t>
            </w:r>
          </w:p>
          <w:p>
            <w:pPr>
              <w:pStyle w:val="0"/>
              <w:jc w:val="center"/>
            </w:pPr>
            <w:r>
              <w:rPr>
                <w:sz w:val="20"/>
              </w:rPr>
              <w:t xml:space="preserve">на программное обеспечение (расходы, связанные с получением прав</w:t>
            </w:r>
          </w:p>
          <w:p>
            <w:pPr>
              <w:pStyle w:val="0"/>
              <w:jc w:val="center"/>
            </w:pPr>
            <w:r>
              <w:rPr>
                <w:sz w:val="20"/>
              </w:rPr>
              <w:t xml:space="preserve">по лицензионному соглашению; расходы по адаптации, настройке, внедрению</w:t>
            </w:r>
          </w:p>
          <w:p>
            <w:pPr>
              <w:pStyle w:val="0"/>
              <w:jc w:val="center"/>
            </w:pPr>
            <w:r>
              <w:rPr>
                <w:sz w:val="20"/>
              </w:rPr>
              <w:t xml:space="preserve">и модификации программного обеспечения; расходы по сопровождению программного обеспечения)</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13. Приобретение сырья, расходных материалов, необходимых</w:t>
            </w:r>
          </w:p>
          <w:p>
            <w:pPr>
              <w:pStyle w:val="0"/>
              <w:jc w:val="center"/>
            </w:pPr>
            <w:r>
              <w:rPr>
                <w:sz w:val="20"/>
              </w:rPr>
              <w:t xml:space="preserve">для производства продукции и оказания услуг</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14. Приобретение комплектующих изделий при производстве</w:t>
            </w:r>
          </w:p>
          <w:p>
            <w:pPr>
              <w:pStyle w:val="0"/>
              <w:jc w:val="center"/>
            </w:pPr>
            <w:r>
              <w:rPr>
                <w:sz w:val="20"/>
              </w:rPr>
              <w:t xml:space="preserve">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w:t>
            </w:r>
          </w:p>
          <w:p>
            <w:pPr>
              <w:pStyle w:val="0"/>
              <w:jc w:val="center"/>
            </w:pPr>
            <w:r>
              <w:rPr>
                <w:sz w:val="20"/>
              </w:rPr>
              <w:t xml:space="preserve">или реабилитации (абилитации) инвалидов</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15. Уплата первого взноса (аванса) при заключении договора лизинга</w:t>
            </w:r>
          </w:p>
          <w:p>
            <w:pPr>
              <w:pStyle w:val="0"/>
              <w:jc w:val="center"/>
            </w:pPr>
            <w:r>
              <w:rPr>
                <w:sz w:val="20"/>
              </w:rPr>
              <w:t xml:space="preserve">и (или) лизинговых платежей</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gridSpan w:val="6"/>
            <w:tcW w:w="9068" w:type="dxa"/>
          </w:tcPr>
          <w:p>
            <w:pPr>
              <w:pStyle w:val="0"/>
              <w:jc w:val="center"/>
            </w:pPr>
            <w:r>
              <w:rPr>
                <w:sz w:val="20"/>
              </w:rPr>
              <w:t xml:space="preserve">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r>
      <w:tr>
        <w:tc>
          <w:tcPr>
            <w:tcW w:w="2665"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r>
        <w:tc>
          <w:tcPr>
            <w:tcW w:w="2665" w:type="dxa"/>
          </w:tcPr>
          <w:p>
            <w:pPr>
              <w:pStyle w:val="0"/>
            </w:pPr>
            <w:r>
              <w:rPr>
                <w:sz w:val="20"/>
              </w:rPr>
              <w:t xml:space="preserve">Итого затрат</w:t>
            </w:r>
          </w:p>
        </w:tc>
        <w:tc>
          <w:tcPr>
            <w:tcW w:w="1417" w:type="dxa"/>
          </w:tcPr>
          <w:p>
            <w:pPr>
              <w:pStyle w:val="0"/>
            </w:pPr>
            <w:r>
              <w:rPr>
                <w:sz w:val="20"/>
              </w:rPr>
            </w:r>
          </w:p>
        </w:tc>
        <w:tc>
          <w:tcPr>
            <w:tcW w:w="1134" w:type="dxa"/>
          </w:tcPr>
          <w:p>
            <w:pPr>
              <w:pStyle w:val="0"/>
            </w:pPr>
            <w:r>
              <w:rPr>
                <w:sz w:val="20"/>
              </w:rPr>
            </w:r>
          </w:p>
        </w:tc>
        <w:tc>
          <w:tcPr>
            <w:tcW w:w="900" w:type="dxa"/>
          </w:tcPr>
          <w:p>
            <w:pPr>
              <w:pStyle w:val="0"/>
            </w:pPr>
            <w:r>
              <w:rPr>
                <w:sz w:val="20"/>
              </w:rPr>
            </w:r>
          </w:p>
        </w:tc>
        <w:tc>
          <w:tcPr>
            <w:tcW w:w="1184" w:type="dxa"/>
          </w:tcPr>
          <w:p>
            <w:pPr>
              <w:pStyle w:val="0"/>
            </w:pPr>
            <w:r>
              <w:rPr>
                <w:sz w:val="20"/>
              </w:rPr>
            </w:r>
          </w:p>
        </w:tc>
        <w:tc>
          <w:tcPr>
            <w:tcW w:w="1768" w:type="dxa"/>
          </w:tcPr>
          <w:p>
            <w:pPr>
              <w:pStyle w:val="0"/>
            </w:pPr>
            <w:r>
              <w:rPr>
                <w:sz w:val="20"/>
              </w:rPr>
            </w:r>
          </w:p>
        </w:tc>
      </w:tr>
    </w:tbl>
    <w:p>
      <w:pPr>
        <w:pStyle w:val="0"/>
        <w:jc w:val="both"/>
      </w:pPr>
      <w:r>
        <w:rPr>
          <w:sz w:val="20"/>
        </w:rPr>
      </w:r>
    </w:p>
    <w:p>
      <w:pPr>
        <w:pStyle w:val="0"/>
        <w:ind w:firstLine="540"/>
        <w:jc w:val="both"/>
      </w:pPr>
      <w:r>
        <w:rPr>
          <w:sz w:val="20"/>
        </w:rPr>
        <w:t xml:space="preserve">Приложения: _______________________________ на ___ л. в 1 экз.</w:t>
      </w:r>
    </w:p>
    <w:p>
      <w:pPr>
        <w:pStyle w:val="0"/>
        <w:spacing w:before="200" w:line-rule="auto"/>
        <w:ind w:firstLine="540"/>
        <w:jc w:val="both"/>
      </w:pPr>
      <w:r>
        <w:rPr>
          <w:sz w:val="20"/>
        </w:rPr>
        <w:t xml:space="preserve">--------------------------------</w:t>
      </w:r>
    </w:p>
    <w:bookmarkStart w:id="1068" w:name="P1068"/>
    <w:bookmarkEnd w:id="1068"/>
    <w:p>
      <w:pPr>
        <w:pStyle w:val="0"/>
        <w:spacing w:before="200" w:line-rule="auto"/>
        <w:ind w:firstLine="540"/>
        <w:jc w:val="both"/>
      </w:pPr>
      <w:r>
        <w:rPr>
          <w:sz w:val="20"/>
        </w:rPr>
        <w:t xml:space="preserve">&lt;1&gt; В целях подтверждения наличия собственной материально-технической, ресурсной базы для реализации проекта в сфере социального предпринимательства участник отбора предоставляет по желанию подтверждающие документы (копии документов на приобретение основных средств, на аренду помещений, земельных участков, на поставку сырья и материалов и др.).</w:t>
      </w:r>
    </w:p>
    <w:bookmarkStart w:id="1069" w:name="P1069"/>
    <w:bookmarkEnd w:id="1069"/>
    <w:p>
      <w:pPr>
        <w:pStyle w:val="0"/>
        <w:spacing w:before="200" w:line-rule="auto"/>
        <w:ind w:firstLine="540"/>
        <w:jc w:val="both"/>
      </w:pPr>
      <w:r>
        <w:rPr>
          <w:sz w:val="20"/>
        </w:rPr>
        <w:t xml:space="preserve">&lt;2&gt; В разделе описывается цель данного проекта для субъекта МСП, обосновывается необходимость реализации проекта для субъекта предпринимательства, а также задачи проекта (перечислить перечень мероприятий, которые необходимо выполнить для достижения целей проекта). Данный перечень должен сопоставляться с планом реализации проекта в сфере социального предпринимательства.</w:t>
      </w:r>
    </w:p>
    <w:bookmarkStart w:id="1070" w:name="P1070"/>
    <w:bookmarkEnd w:id="1070"/>
    <w:p>
      <w:pPr>
        <w:pStyle w:val="0"/>
        <w:spacing w:before="200" w:line-rule="auto"/>
        <w:ind w:firstLine="540"/>
        <w:jc w:val="both"/>
      </w:pPr>
      <w:r>
        <w:rPr>
          <w:sz w:val="20"/>
        </w:rPr>
        <w:t xml:space="preserve">&lt;3&gt; Сведения об используемой технологии: описываются основные этапы и процессы производства товаров (оказания услуг, выполнения работ) в рамках реализации проекта, эффект (создание нового продукта/услуги, импортозамещение).</w:t>
      </w:r>
    </w:p>
    <w:bookmarkStart w:id="1071" w:name="P1071"/>
    <w:bookmarkEnd w:id="1071"/>
    <w:p>
      <w:pPr>
        <w:pStyle w:val="0"/>
        <w:spacing w:before="200" w:line-rule="auto"/>
        <w:ind w:firstLine="540"/>
        <w:jc w:val="both"/>
      </w:pPr>
      <w:r>
        <w:rPr>
          <w:sz w:val="20"/>
        </w:rPr>
        <w:t xml:space="preserve">&lt;4&gt; Раздел "сырье и материалы", содержащий сведения о материальных ресурсах, необходимых для реализации проекта, о возможных поставщиках сырья и материалов (наименование поставщика, условия поставок), прогнозных ценах на сырье и материалы, риски и ограничения проекта, обусловленные материальными ресурсами, необходимыми для реализации проекта.</w:t>
      </w:r>
    </w:p>
    <w:bookmarkStart w:id="1072" w:name="P1072"/>
    <w:bookmarkEnd w:id="1072"/>
    <w:p>
      <w:pPr>
        <w:pStyle w:val="0"/>
        <w:spacing w:before="200" w:line-rule="auto"/>
        <w:ind w:firstLine="540"/>
        <w:jc w:val="both"/>
      </w:pPr>
      <w:r>
        <w:rPr>
          <w:sz w:val="20"/>
        </w:rPr>
        <w:t xml:space="preserve">&lt;5&gt; Сведения о персонале, планируемом к привлечению в целях реализации проекта. При необходимости привлечения в проект специалистов с уникальной квалификацией указываются источники формирования и (или) обучения кадров с указанием опыта их работы в соответствующей сфере. В целях подтверждения квалификации персонала могут быть предоставлены подтверждающие документы (копии документов по основному персоналу, реализующему проект: дипломов, сертификатов и др.) вместе с согласием на обработку персональных данных персонала.</w:t>
      </w:r>
    </w:p>
    <w:bookmarkStart w:id="1073" w:name="P1073"/>
    <w:bookmarkEnd w:id="1073"/>
    <w:p>
      <w:pPr>
        <w:pStyle w:val="0"/>
        <w:spacing w:before="200" w:line-rule="auto"/>
        <w:ind w:firstLine="540"/>
        <w:jc w:val="both"/>
      </w:pPr>
      <w:r>
        <w:rPr>
          <w:sz w:val="20"/>
        </w:rPr>
        <w:t xml:space="preserve">&lt;6&gt; Исследование потенциала сбыта продукции (услуг, работ): характеристика, описание уникальных свойств (при наличии) продукции (услуг, работ), оценка возможного объема рынка (регионального, российского, мирового), прогноз развития продукта и рынка сбыта на период реализации проекта, описание основных компаний - конкурентов на рынке, основных продуктов - конкурентов, прогноз объемов производства и продаж, цен по видам продукции (услуг, работ) на каждый год реализации проекта, окупаемость проекта.</w:t>
      </w:r>
    </w:p>
    <w:bookmarkStart w:id="1074" w:name="P1074"/>
    <w:bookmarkEnd w:id="1074"/>
    <w:p>
      <w:pPr>
        <w:pStyle w:val="0"/>
        <w:spacing w:before="200" w:line-rule="auto"/>
        <w:ind w:firstLine="540"/>
        <w:jc w:val="both"/>
      </w:pPr>
      <w:r>
        <w:rPr>
          <w:sz w:val="20"/>
        </w:rPr>
        <w:t xml:space="preserve">&lt;7&gt; План расходования средств должен включать в себя исключительно расходы, указанные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пунктах 3.7.1</w:t>
        </w:r>
      </w:hyperlink>
      <w:r>
        <w:rPr>
          <w:sz w:val="20"/>
        </w:rPr>
        <w:t xml:space="preserve">, </w:t>
      </w:r>
      <w:hyperlink w:history="0" w:anchor="P456" w:tooltip="3.7.2. Дополнительно к расходам, указанным в пункте 3.7.1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
        <w:r>
          <w:rPr>
            <w:sz w:val="20"/>
            <w:color w:val="0000ff"/>
          </w:rPr>
          <w:t xml:space="preserve">3.7.2</w:t>
        </w:r>
      </w:hyperlink>
      <w:r>
        <w:rPr>
          <w:sz w:val="20"/>
        </w:rPr>
        <w:t xml:space="preserve"> настоящего Порядка, без учета (за исключением) налога на добавленную стоимость (далее - НДС).</w:t>
      </w:r>
    </w:p>
    <w:p>
      <w:pPr>
        <w:pStyle w:val="0"/>
        <w:jc w:val="both"/>
      </w:pPr>
      <w:r>
        <w:rPr>
          <w:sz w:val="20"/>
        </w:rPr>
      </w:r>
    </w:p>
    <w:p>
      <w:pPr>
        <w:pStyle w:val="0"/>
        <w:ind w:firstLine="540"/>
        <w:jc w:val="both"/>
      </w:pPr>
      <w:r>
        <w:rPr>
          <w:sz w:val="20"/>
        </w:rPr>
        <w:t xml:space="preserve">для руководителя организации/индивидуального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082"/>
        <w:gridCol w:w="2891"/>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08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 полностью)</w:t>
            </w:r>
          </w:p>
        </w:tc>
        <w:tc>
          <w:tcPr>
            <w:tcW w:w="2891" w:type="dxa"/>
            <w:tcBorders>
              <w:top w:val="nil"/>
              <w:left w:val="nil"/>
              <w:bottom w:val="nil"/>
              <w:right w:val="nil"/>
            </w:tcBorders>
          </w:tcPr>
          <w:p>
            <w:pPr>
              <w:pStyle w:val="0"/>
              <w:jc w:val="center"/>
            </w:pPr>
            <w:r>
              <w:rPr>
                <w:sz w:val="20"/>
              </w:rPr>
              <w:t xml:space="preserve">"___" ________ 20__ г.</w:t>
            </w:r>
          </w:p>
        </w:tc>
      </w:tr>
      <w:tr>
        <w:tc>
          <w:tcPr>
            <w:gridSpan w:val="3"/>
            <w:tcW w:w="9071"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ind w:firstLine="540"/>
        <w:jc w:val="both"/>
      </w:pPr>
      <w:r>
        <w:rPr>
          <w:sz w:val="20"/>
        </w:rPr>
        <w:t xml:space="preserve">для главного бухгалтера организации/главного бухгалтера 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082"/>
        <w:gridCol w:w="2891"/>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08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 полностью)</w:t>
            </w:r>
          </w:p>
        </w:tc>
        <w:tc>
          <w:tcPr>
            <w:tcW w:w="2891" w:type="dxa"/>
            <w:tcBorders>
              <w:top w:val="nil"/>
              <w:left w:val="nil"/>
              <w:bottom w:val="nil"/>
              <w:right w:val="nil"/>
            </w:tcBorders>
          </w:tcPr>
          <w:p>
            <w:pPr>
              <w:pStyle w:val="0"/>
              <w:jc w:val="center"/>
            </w:pPr>
            <w:r>
              <w:rPr>
                <w:sz w:val="20"/>
              </w:rPr>
              <w:t xml:space="preserve">"___" 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 малого</w:t>
      </w:r>
    </w:p>
    <w:p>
      <w:pPr>
        <w:pStyle w:val="0"/>
        <w:jc w:val="right"/>
      </w:pPr>
      <w:r>
        <w:rPr>
          <w:sz w:val="20"/>
        </w:rPr>
        <w:t xml:space="preserve">и среднего предпринимательства, созданным физическими</w:t>
      </w:r>
    </w:p>
    <w:p>
      <w:pPr>
        <w:pStyle w:val="0"/>
        <w:jc w:val="right"/>
      </w:pPr>
      <w:r>
        <w:rPr>
          <w:sz w:val="20"/>
        </w:rPr>
        <w:t xml:space="preserve">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20.12.2022 </w:t>
            </w:r>
            <w:hyperlink w:history="0" r:id="rId276"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w:t>
            </w:r>
          </w:p>
          <w:p>
            <w:pPr>
              <w:pStyle w:val="0"/>
              <w:jc w:val="center"/>
            </w:pPr>
            <w:r>
              <w:rPr>
                <w:sz w:val="20"/>
                <w:color w:val="392c69"/>
              </w:rPr>
              <w:t xml:space="preserve">от 09.10.2023 </w:t>
            </w:r>
            <w:hyperlink w:history="0" r:id="rId277"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08" w:name="P1108"/>
    <w:bookmarkEnd w:id="1108"/>
    <w:p>
      <w:pPr>
        <w:pStyle w:val="0"/>
        <w:jc w:val="center"/>
      </w:pPr>
      <w:r>
        <w:rPr>
          <w:sz w:val="20"/>
        </w:rPr>
        <w:t xml:space="preserve">ПРОЕКТ</w:t>
      </w:r>
    </w:p>
    <w:p>
      <w:pPr>
        <w:pStyle w:val="0"/>
        <w:jc w:val="center"/>
      </w:pPr>
      <w:r>
        <w:rPr>
          <w:sz w:val="20"/>
        </w:rPr>
        <w:t xml:space="preserve">в сфере предпринимательской деятельности</w:t>
      </w:r>
    </w:p>
    <w:p>
      <w:pPr>
        <w:pStyle w:val="0"/>
        <w:jc w:val="both"/>
      </w:pPr>
      <w:r>
        <w:rPr>
          <w:sz w:val="20"/>
        </w:rPr>
      </w:r>
    </w:p>
    <w:p>
      <w:pPr>
        <w:pStyle w:val="0"/>
        <w:jc w:val="center"/>
      </w:pPr>
      <w:r>
        <w:rPr>
          <w:sz w:val="20"/>
        </w:rPr>
        <w:t xml:space="preserve">___________________________________________________________</w:t>
      </w:r>
    </w:p>
    <w:p>
      <w:pPr>
        <w:pStyle w:val="0"/>
        <w:jc w:val="center"/>
      </w:pPr>
      <w:r>
        <w:rPr>
          <w:sz w:val="20"/>
        </w:rPr>
        <w:t xml:space="preserve">(наименование проекта)</w:t>
      </w:r>
    </w:p>
    <w:p>
      <w:pPr>
        <w:pStyle w:val="0"/>
        <w:jc w:val="both"/>
      </w:pPr>
      <w:r>
        <w:rPr>
          <w:sz w:val="20"/>
        </w:rPr>
      </w:r>
    </w:p>
    <w:p>
      <w:pPr>
        <w:pStyle w:val="0"/>
        <w:outlineLvl w:val="2"/>
        <w:jc w:val="center"/>
      </w:pPr>
      <w:r>
        <w:rPr>
          <w:sz w:val="20"/>
        </w:rPr>
        <w:t xml:space="preserve">I. Общие сведения об участнике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0"/>
      </w:tblGrid>
      <w:tr>
        <w:tc>
          <w:tcPr>
            <w:tcW w:w="6236" w:type="dxa"/>
          </w:tcPr>
          <w:p>
            <w:pPr>
              <w:pStyle w:val="0"/>
              <w:jc w:val="both"/>
            </w:pPr>
            <w:r>
              <w:rPr>
                <w:sz w:val="20"/>
              </w:rPr>
              <w:t xml:space="preserve">Наименование субъекта малого и среднего предпринимательства (полное и сокращенное наименование)</w:t>
            </w:r>
          </w:p>
        </w:tc>
        <w:tc>
          <w:tcPr>
            <w:tcW w:w="2830" w:type="dxa"/>
          </w:tcPr>
          <w:p>
            <w:pPr>
              <w:pStyle w:val="0"/>
            </w:pPr>
            <w:r>
              <w:rPr>
                <w:sz w:val="20"/>
              </w:rPr>
            </w:r>
          </w:p>
        </w:tc>
      </w:tr>
      <w:tr>
        <w:tc>
          <w:tcPr>
            <w:gridSpan w:val="2"/>
            <w:tcW w:w="9066" w:type="dxa"/>
          </w:tcPr>
          <w:p>
            <w:pPr>
              <w:pStyle w:val="0"/>
              <w:jc w:val="center"/>
            </w:pPr>
            <w:r>
              <w:rPr>
                <w:sz w:val="20"/>
              </w:rPr>
              <w:t xml:space="preserve">Реквизиты</w:t>
            </w:r>
          </w:p>
        </w:tc>
      </w:tr>
      <w:tr>
        <w:tc>
          <w:tcPr>
            <w:tcW w:w="6236" w:type="dxa"/>
          </w:tcPr>
          <w:p>
            <w:pPr>
              <w:pStyle w:val="0"/>
              <w:jc w:val="both"/>
            </w:pPr>
            <w:r>
              <w:rPr>
                <w:sz w:val="20"/>
              </w:rPr>
              <w:t xml:space="preserve">ИНН</w:t>
            </w:r>
          </w:p>
        </w:tc>
        <w:tc>
          <w:tcPr>
            <w:tcW w:w="2830" w:type="dxa"/>
          </w:tcPr>
          <w:p>
            <w:pPr>
              <w:pStyle w:val="0"/>
            </w:pPr>
            <w:r>
              <w:rPr>
                <w:sz w:val="20"/>
              </w:rPr>
            </w:r>
          </w:p>
        </w:tc>
      </w:tr>
      <w:tr>
        <w:tc>
          <w:tcPr>
            <w:tcW w:w="6236" w:type="dxa"/>
          </w:tcPr>
          <w:p>
            <w:pPr>
              <w:pStyle w:val="0"/>
              <w:jc w:val="both"/>
            </w:pPr>
            <w:r>
              <w:rPr>
                <w:sz w:val="20"/>
              </w:rPr>
              <w:t xml:space="preserve">КПП</w:t>
            </w:r>
          </w:p>
        </w:tc>
        <w:tc>
          <w:tcPr>
            <w:tcW w:w="2830" w:type="dxa"/>
          </w:tcPr>
          <w:p>
            <w:pPr>
              <w:pStyle w:val="0"/>
            </w:pPr>
            <w:r>
              <w:rPr>
                <w:sz w:val="20"/>
              </w:rPr>
            </w:r>
          </w:p>
        </w:tc>
      </w:tr>
      <w:tr>
        <w:tc>
          <w:tcPr>
            <w:tcW w:w="6236" w:type="dxa"/>
          </w:tcPr>
          <w:p>
            <w:pPr>
              <w:pStyle w:val="0"/>
              <w:jc w:val="both"/>
            </w:pPr>
            <w:r>
              <w:rPr>
                <w:sz w:val="20"/>
              </w:rPr>
              <w:t xml:space="preserve">Расчетный счет (открытый (имеющийся) в целях получения гранта)</w:t>
            </w:r>
          </w:p>
        </w:tc>
        <w:tc>
          <w:tcPr>
            <w:tcW w:w="2830" w:type="dxa"/>
          </w:tcPr>
          <w:p>
            <w:pPr>
              <w:pStyle w:val="0"/>
            </w:pPr>
            <w:r>
              <w:rPr>
                <w:sz w:val="20"/>
              </w:rPr>
            </w:r>
          </w:p>
        </w:tc>
      </w:tr>
      <w:tr>
        <w:tc>
          <w:tcPr>
            <w:tcW w:w="6236" w:type="dxa"/>
          </w:tcPr>
          <w:p>
            <w:pPr>
              <w:pStyle w:val="0"/>
              <w:jc w:val="both"/>
            </w:pPr>
            <w:r>
              <w:rPr>
                <w:sz w:val="20"/>
              </w:rPr>
              <w:t xml:space="preserve">Корреспондентский счет</w:t>
            </w:r>
          </w:p>
        </w:tc>
        <w:tc>
          <w:tcPr>
            <w:tcW w:w="2830" w:type="dxa"/>
          </w:tcPr>
          <w:p>
            <w:pPr>
              <w:pStyle w:val="0"/>
            </w:pPr>
            <w:r>
              <w:rPr>
                <w:sz w:val="20"/>
              </w:rPr>
            </w:r>
          </w:p>
        </w:tc>
      </w:tr>
      <w:tr>
        <w:tc>
          <w:tcPr>
            <w:tcW w:w="6236" w:type="dxa"/>
          </w:tcPr>
          <w:p>
            <w:pPr>
              <w:pStyle w:val="0"/>
              <w:jc w:val="both"/>
            </w:pPr>
            <w:r>
              <w:rPr>
                <w:sz w:val="20"/>
              </w:rPr>
              <w:t xml:space="preserve">БИК</w:t>
            </w:r>
          </w:p>
        </w:tc>
        <w:tc>
          <w:tcPr>
            <w:tcW w:w="2830" w:type="dxa"/>
          </w:tcPr>
          <w:p>
            <w:pPr>
              <w:pStyle w:val="0"/>
            </w:pPr>
            <w:r>
              <w:rPr>
                <w:sz w:val="20"/>
              </w:rPr>
            </w:r>
          </w:p>
        </w:tc>
      </w:tr>
      <w:tr>
        <w:tc>
          <w:tcPr>
            <w:tcW w:w="6236" w:type="dxa"/>
          </w:tcPr>
          <w:p>
            <w:pPr>
              <w:pStyle w:val="0"/>
              <w:jc w:val="both"/>
            </w:pPr>
            <w:r>
              <w:rPr>
                <w:sz w:val="20"/>
              </w:rPr>
              <w:t xml:space="preserve">Наименование банка</w:t>
            </w:r>
          </w:p>
        </w:tc>
        <w:tc>
          <w:tcPr>
            <w:tcW w:w="2830" w:type="dxa"/>
          </w:tcPr>
          <w:p>
            <w:pPr>
              <w:pStyle w:val="0"/>
            </w:pPr>
            <w:r>
              <w:rPr>
                <w:sz w:val="20"/>
              </w:rPr>
            </w:r>
          </w:p>
        </w:tc>
      </w:tr>
      <w:tr>
        <w:tc>
          <w:tcPr>
            <w:tcW w:w="6236" w:type="dxa"/>
          </w:tcPr>
          <w:p>
            <w:pPr>
              <w:pStyle w:val="0"/>
              <w:jc w:val="both"/>
            </w:pPr>
            <w:r>
              <w:rPr>
                <w:sz w:val="20"/>
              </w:rPr>
              <w:t xml:space="preserve">Контакты:</w:t>
            </w:r>
          </w:p>
          <w:p>
            <w:pPr>
              <w:pStyle w:val="0"/>
              <w:jc w:val="both"/>
            </w:pPr>
            <w:r>
              <w:rPr>
                <w:sz w:val="20"/>
              </w:rPr>
              <w:t xml:space="preserve">телефон</w:t>
            </w:r>
          </w:p>
          <w:p>
            <w:pPr>
              <w:pStyle w:val="0"/>
              <w:jc w:val="both"/>
            </w:pPr>
            <w:r>
              <w:rPr>
                <w:sz w:val="20"/>
              </w:rPr>
              <w:t xml:space="preserve">e-mail</w:t>
            </w:r>
          </w:p>
        </w:tc>
        <w:tc>
          <w:tcPr>
            <w:tcW w:w="2830" w:type="dxa"/>
          </w:tcPr>
          <w:p>
            <w:pPr>
              <w:pStyle w:val="0"/>
            </w:pPr>
            <w:r>
              <w:rPr>
                <w:sz w:val="20"/>
              </w:rPr>
            </w:r>
          </w:p>
        </w:tc>
      </w:tr>
    </w:tbl>
    <w:p>
      <w:pPr>
        <w:pStyle w:val="0"/>
        <w:jc w:val="both"/>
      </w:pPr>
      <w:r>
        <w:rPr>
          <w:sz w:val="20"/>
        </w:rPr>
      </w:r>
    </w:p>
    <w:p>
      <w:pPr>
        <w:pStyle w:val="0"/>
        <w:outlineLvl w:val="2"/>
        <w:jc w:val="center"/>
      </w:pPr>
      <w:r>
        <w:rPr>
          <w:sz w:val="20"/>
        </w:rPr>
        <w:t xml:space="preserve">II. Описание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2550"/>
        <w:gridCol w:w="1530"/>
      </w:tblGrid>
      <w:tr>
        <w:tc>
          <w:tcPr>
            <w:tcW w:w="4989" w:type="dxa"/>
          </w:tcPr>
          <w:p>
            <w:pPr>
              <w:pStyle w:val="0"/>
            </w:pPr>
            <w:r>
              <w:rPr>
                <w:sz w:val="20"/>
              </w:rPr>
              <w:t xml:space="preserve">Отрасль, в которой осуществляется деятельность</w:t>
            </w:r>
          </w:p>
        </w:tc>
        <w:tc>
          <w:tcPr>
            <w:gridSpan w:val="2"/>
            <w:tcW w:w="4080" w:type="dxa"/>
          </w:tcPr>
          <w:p>
            <w:pPr>
              <w:pStyle w:val="0"/>
            </w:pPr>
            <w:r>
              <w:rPr>
                <w:sz w:val="20"/>
              </w:rPr>
            </w:r>
          </w:p>
        </w:tc>
      </w:tr>
      <w:tr>
        <w:tc>
          <w:tcPr>
            <w:tcW w:w="4989" w:type="dxa"/>
          </w:tcPr>
          <w:p>
            <w:pPr>
              <w:pStyle w:val="0"/>
            </w:pPr>
            <w:r>
              <w:rPr>
                <w:sz w:val="20"/>
              </w:rPr>
              <w:t xml:space="preserve">Цель проекта </w:t>
            </w:r>
            <w:hyperlink w:history="0" w:anchor="P1427" w:tooltip="&lt;1&gt; В разделе описывается цель данного проекта для субъекта МСП, обосновывается необходимость реализации проекта для субъекта предпринимательства, а также задачи проекта (перечислить перечень мероприятий, которые необходимо выполнить для достижения целей проекта). Данный перечень должен сопоставляться с планом реализации проекта.">
              <w:r>
                <w:rPr>
                  <w:sz w:val="20"/>
                  <w:color w:val="0000ff"/>
                </w:rPr>
                <w:t xml:space="preserve">&lt;1&gt;</w:t>
              </w:r>
            </w:hyperlink>
          </w:p>
        </w:tc>
        <w:tc>
          <w:tcPr>
            <w:gridSpan w:val="2"/>
            <w:tcW w:w="4080" w:type="dxa"/>
          </w:tcPr>
          <w:p>
            <w:pPr>
              <w:pStyle w:val="0"/>
            </w:pPr>
            <w:r>
              <w:rPr>
                <w:sz w:val="20"/>
              </w:rPr>
            </w:r>
          </w:p>
        </w:tc>
      </w:tr>
      <w:tr>
        <w:tc>
          <w:tcPr>
            <w:tcW w:w="4989" w:type="dxa"/>
            <w:vMerge w:val="restart"/>
          </w:tcPr>
          <w:p>
            <w:pPr>
              <w:pStyle w:val="0"/>
            </w:pPr>
            <w:r>
              <w:rPr>
                <w:sz w:val="20"/>
              </w:rPr>
              <w:t xml:space="preserve">Категория субъекта малого и среднего предпринимательства (поставить знак V)</w:t>
            </w:r>
          </w:p>
        </w:tc>
        <w:tc>
          <w:tcPr>
            <w:tcW w:w="2550" w:type="dxa"/>
          </w:tcPr>
          <w:p>
            <w:pPr>
              <w:pStyle w:val="0"/>
            </w:pPr>
            <w:r>
              <w:rPr>
                <w:sz w:val="20"/>
              </w:rPr>
              <w:t xml:space="preserve">Индивидуальный предприниматель</w:t>
            </w:r>
          </w:p>
        </w:tc>
        <w:tc>
          <w:tcPr>
            <w:tcW w:w="1530" w:type="dxa"/>
          </w:tcPr>
          <w:p>
            <w:pPr>
              <w:pStyle w:val="0"/>
            </w:pPr>
            <w:r>
              <w:rPr>
                <w:sz w:val="20"/>
              </w:rPr>
            </w:r>
          </w:p>
        </w:tc>
      </w:tr>
      <w:tr>
        <w:tc>
          <w:tcPr>
            <w:vMerge w:val="continue"/>
          </w:tcPr>
          <w:p/>
        </w:tc>
        <w:tc>
          <w:tcPr>
            <w:tcW w:w="2550" w:type="dxa"/>
          </w:tcPr>
          <w:p>
            <w:pPr>
              <w:pStyle w:val="0"/>
            </w:pPr>
            <w:r>
              <w:rPr>
                <w:sz w:val="20"/>
              </w:rPr>
              <w:t xml:space="preserve">Самозанятый (ИП, применяющий налог на профессиональный доход)</w:t>
            </w:r>
          </w:p>
        </w:tc>
        <w:tc>
          <w:tcPr>
            <w:tcW w:w="1530" w:type="dxa"/>
          </w:tcPr>
          <w:p>
            <w:pPr>
              <w:pStyle w:val="0"/>
            </w:pPr>
            <w:r>
              <w:rPr>
                <w:sz w:val="20"/>
              </w:rPr>
            </w:r>
          </w:p>
        </w:tc>
      </w:tr>
      <w:tr>
        <w:tc>
          <w:tcPr>
            <w:vMerge w:val="continue"/>
          </w:tcPr>
          <w:p/>
        </w:tc>
        <w:tc>
          <w:tcPr>
            <w:tcW w:w="2550" w:type="dxa"/>
          </w:tcPr>
          <w:p>
            <w:pPr>
              <w:pStyle w:val="0"/>
            </w:pPr>
            <w:r>
              <w:rPr>
                <w:sz w:val="20"/>
              </w:rPr>
              <w:t xml:space="preserve">Учредитель юридического лица</w:t>
            </w:r>
          </w:p>
        </w:tc>
        <w:tc>
          <w:tcPr>
            <w:tcW w:w="1530" w:type="dxa"/>
          </w:tcPr>
          <w:p>
            <w:pPr>
              <w:pStyle w:val="0"/>
            </w:pPr>
            <w:r>
              <w:rPr>
                <w:sz w:val="20"/>
              </w:rPr>
            </w:r>
          </w:p>
        </w:tc>
      </w:tr>
      <w:tr>
        <w:tc>
          <w:tcPr>
            <w:tcW w:w="4989" w:type="dxa"/>
          </w:tcPr>
          <w:p>
            <w:pPr>
              <w:pStyle w:val="0"/>
            </w:pPr>
            <w:r>
              <w:rPr>
                <w:sz w:val="20"/>
              </w:rPr>
              <w:t xml:space="preserve">Наименование предлагаемой к выпуску продукции/услуги</w:t>
            </w:r>
          </w:p>
        </w:tc>
        <w:tc>
          <w:tcPr>
            <w:gridSpan w:val="2"/>
            <w:tcW w:w="4080" w:type="dxa"/>
          </w:tcPr>
          <w:p>
            <w:pPr>
              <w:pStyle w:val="0"/>
            </w:pPr>
            <w:r>
              <w:rPr>
                <w:sz w:val="20"/>
              </w:rPr>
            </w:r>
          </w:p>
        </w:tc>
      </w:tr>
      <w:tr>
        <w:tc>
          <w:tcPr>
            <w:tcW w:w="4989" w:type="dxa"/>
          </w:tcPr>
          <w:p>
            <w:pPr>
              <w:pStyle w:val="0"/>
            </w:pPr>
            <w:r>
              <w:rPr>
                <w:sz w:val="20"/>
              </w:rPr>
              <w:t xml:space="preserve">Общая стоимость проекта (руб.)</w:t>
            </w:r>
          </w:p>
        </w:tc>
        <w:tc>
          <w:tcPr>
            <w:gridSpan w:val="2"/>
            <w:tcW w:w="4080" w:type="dxa"/>
          </w:tcPr>
          <w:p>
            <w:pPr>
              <w:pStyle w:val="0"/>
            </w:pPr>
            <w:r>
              <w:rPr>
                <w:sz w:val="20"/>
              </w:rPr>
            </w:r>
          </w:p>
        </w:tc>
      </w:tr>
      <w:tr>
        <w:tc>
          <w:tcPr>
            <w:gridSpan w:val="3"/>
            <w:tcW w:w="9069" w:type="dxa"/>
          </w:tcPr>
          <w:p>
            <w:pPr>
              <w:pStyle w:val="0"/>
            </w:pPr>
            <w:r>
              <w:rPr>
                <w:sz w:val="20"/>
              </w:rPr>
              <w:t xml:space="preserve">Источники финансирования для реализации бизнес-проекта (руб.)</w:t>
            </w:r>
          </w:p>
        </w:tc>
      </w:tr>
      <w:tr>
        <w:tc>
          <w:tcPr>
            <w:tcW w:w="4989" w:type="dxa"/>
          </w:tcPr>
          <w:p>
            <w:pPr>
              <w:pStyle w:val="0"/>
            </w:pPr>
            <w:r>
              <w:rPr>
                <w:sz w:val="20"/>
              </w:rPr>
              <w:t xml:space="preserve">Собственные средства</w:t>
            </w:r>
          </w:p>
        </w:tc>
        <w:tc>
          <w:tcPr>
            <w:gridSpan w:val="2"/>
            <w:tcW w:w="4080" w:type="dxa"/>
          </w:tcPr>
          <w:p>
            <w:pPr>
              <w:pStyle w:val="0"/>
            </w:pPr>
            <w:r>
              <w:rPr>
                <w:sz w:val="20"/>
              </w:rPr>
            </w:r>
          </w:p>
        </w:tc>
      </w:tr>
      <w:tr>
        <w:tc>
          <w:tcPr>
            <w:tcW w:w="4989" w:type="dxa"/>
          </w:tcPr>
          <w:p>
            <w:pPr>
              <w:pStyle w:val="0"/>
            </w:pPr>
            <w:r>
              <w:rPr>
                <w:sz w:val="20"/>
              </w:rPr>
              <w:t xml:space="preserve">Кредиты</w:t>
            </w:r>
          </w:p>
        </w:tc>
        <w:tc>
          <w:tcPr>
            <w:gridSpan w:val="2"/>
            <w:tcW w:w="4080" w:type="dxa"/>
          </w:tcPr>
          <w:p>
            <w:pPr>
              <w:pStyle w:val="0"/>
            </w:pPr>
            <w:r>
              <w:rPr>
                <w:sz w:val="20"/>
              </w:rPr>
            </w:r>
          </w:p>
        </w:tc>
      </w:tr>
      <w:tr>
        <w:tc>
          <w:tcPr>
            <w:tcW w:w="4989" w:type="dxa"/>
          </w:tcPr>
          <w:p>
            <w:pPr>
              <w:pStyle w:val="0"/>
            </w:pPr>
            <w:r>
              <w:rPr>
                <w:sz w:val="20"/>
              </w:rPr>
              <w:t xml:space="preserve">Займы частных лиц</w:t>
            </w:r>
          </w:p>
        </w:tc>
        <w:tc>
          <w:tcPr>
            <w:gridSpan w:val="2"/>
            <w:tcW w:w="4080" w:type="dxa"/>
          </w:tcPr>
          <w:p>
            <w:pPr>
              <w:pStyle w:val="0"/>
            </w:pPr>
            <w:r>
              <w:rPr>
                <w:sz w:val="20"/>
              </w:rPr>
            </w:r>
          </w:p>
        </w:tc>
      </w:tr>
      <w:tr>
        <w:tc>
          <w:tcPr>
            <w:tcW w:w="4989" w:type="dxa"/>
          </w:tcPr>
          <w:p>
            <w:pPr>
              <w:pStyle w:val="0"/>
            </w:pPr>
            <w:r>
              <w:rPr>
                <w:sz w:val="20"/>
              </w:rPr>
              <w:t xml:space="preserve">Средства инвестора</w:t>
            </w:r>
          </w:p>
        </w:tc>
        <w:tc>
          <w:tcPr>
            <w:gridSpan w:val="2"/>
            <w:tcW w:w="4080" w:type="dxa"/>
          </w:tcPr>
          <w:p>
            <w:pPr>
              <w:pStyle w:val="0"/>
            </w:pPr>
            <w:r>
              <w:rPr>
                <w:sz w:val="20"/>
              </w:rPr>
            </w:r>
          </w:p>
        </w:tc>
      </w:tr>
      <w:tr>
        <w:tc>
          <w:tcPr>
            <w:tcW w:w="4989" w:type="dxa"/>
          </w:tcPr>
          <w:p>
            <w:pPr>
              <w:pStyle w:val="0"/>
            </w:pPr>
            <w:r>
              <w:rPr>
                <w:sz w:val="20"/>
              </w:rPr>
              <w:t xml:space="preserve">Средства запрашиваемого гранта (не должны превышать 500 тыс. руб.)</w:t>
            </w:r>
          </w:p>
        </w:tc>
        <w:tc>
          <w:tcPr>
            <w:gridSpan w:val="2"/>
            <w:tcW w:w="4080" w:type="dxa"/>
          </w:tcPr>
          <w:p>
            <w:pPr>
              <w:pStyle w:val="0"/>
            </w:pPr>
            <w:r>
              <w:rPr>
                <w:sz w:val="20"/>
              </w:rPr>
            </w:r>
          </w:p>
        </w:tc>
      </w:tr>
      <w:tr>
        <w:tc>
          <w:tcPr>
            <w:tcW w:w="4989" w:type="dxa"/>
          </w:tcPr>
          <w:p>
            <w:pPr>
              <w:pStyle w:val="0"/>
            </w:pPr>
            <w:r>
              <w:rPr>
                <w:sz w:val="20"/>
              </w:rPr>
              <w:t xml:space="preserve">Прочие (указать конкретный источник)</w:t>
            </w:r>
          </w:p>
        </w:tc>
        <w:tc>
          <w:tcPr>
            <w:gridSpan w:val="2"/>
            <w:tcW w:w="4080" w:type="dxa"/>
          </w:tcPr>
          <w:p>
            <w:pPr>
              <w:pStyle w:val="0"/>
            </w:pPr>
            <w:r>
              <w:rPr>
                <w:sz w:val="20"/>
              </w:rPr>
            </w:r>
          </w:p>
        </w:tc>
      </w:tr>
      <w:tr>
        <w:tc>
          <w:tcPr>
            <w:tcW w:w="4989" w:type="dxa"/>
          </w:tcPr>
          <w:p>
            <w:pPr>
              <w:pStyle w:val="0"/>
            </w:pPr>
            <w:r>
              <w:rPr>
                <w:sz w:val="20"/>
              </w:rPr>
              <w:t xml:space="preserve">Планируемое количество новых рабочих мест (без учета инициатора)</w:t>
            </w:r>
          </w:p>
        </w:tc>
        <w:tc>
          <w:tcPr>
            <w:gridSpan w:val="2"/>
            <w:tcW w:w="4080" w:type="dxa"/>
          </w:tcPr>
          <w:p>
            <w:pPr>
              <w:pStyle w:val="0"/>
            </w:pPr>
            <w:r>
              <w:rPr>
                <w:sz w:val="20"/>
              </w:rPr>
            </w:r>
          </w:p>
        </w:tc>
      </w:tr>
      <w:tr>
        <w:tc>
          <w:tcPr>
            <w:tcW w:w="4989" w:type="dxa"/>
          </w:tcPr>
          <w:p>
            <w:pPr>
              <w:pStyle w:val="0"/>
            </w:pPr>
            <w:r>
              <w:rPr>
                <w:sz w:val="20"/>
              </w:rPr>
              <w:t xml:space="preserve">Средний размер заработной платы одного работника (руб.)</w:t>
            </w:r>
          </w:p>
        </w:tc>
        <w:tc>
          <w:tcPr>
            <w:gridSpan w:val="2"/>
            <w:tcW w:w="4080" w:type="dxa"/>
          </w:tcPr>
          <w:p>
            <w:pPr>
              <w:pStyle w:val="0"/>
            </w:pPr>
            <w:r>
              <w:rPr>
                <w:sz w:val="20"/>
              </w:rPr>
            </w:r>
          </w:p>
        </w:tc>
      </w:tr>
      <w:tr>
        <w:tc>
          <w:tcPr>
            <w:tcW w:w="4989" w:type="dxa"/>
          </w:tcPr>
          <w:p>
            <w:pPr>
              <w:pStyle w:val="0"/>
            </w:pPr>
            <w:r>
              <w:rPr>
                <w:sz w:val="20"/>
              </w:rPr>
              <w:t xml:space="preserve">Срок реализации проекта</w:t>
            </w:r>
          </w:p>
        </w:tc>
        <w:tc>
          <w:tcPr>
            <w:gridSpan w:val="2"/>
            <w:tcW w:w="4080" w:type="dxa"/>
          </w:tcPr>
          <w:p>
            <w:pPr>
              <w:pStyle w:val="0"/>
            </w:pPr>
            <w:r>
              <w:rPr>
                <w:sz w:val="20"/>
              </w:rPr>
            </w:r>
          </w:p>
        </w:tc>
      </w:tr>
      <w:tr>
        <w:tc>
          <w:tcPr>
            <w:tcW w:w="4989" w:type="dxa"/>
          </w:tcPr>
          <w:p>
            <w:pPr>
              <w:pStyle w:val="0"/>
            </w:pPr>
            <w:r>
              <w:rPr>
                <w:sz w:val="20"/>
              </w:rPr>
              <w:t xml:space="preserve">Место реализации проекта</w:t>
            </w:r>
          </w:p>
        </w:tc>
        <w:tc>
          <w:tcPr>
            <w:gridSpan w:val="2"/>
            <w:tcW w:w="4080" w:type="dxa"/>
          </w:tcPr>
          <w:p>
            <w:pPr>
              <w:pStyle w:val="0"/>
            </w:pPr>
            <w:r>
              <w:rPr>
                <w:sz w:val="20"/>
              </w:rPr>
            </w:r>
          </w:p>
        </w:tc>
      </w:tr>
    </w:tbl>
    <w:p>
      <w:pPr>
        <w:pStyle w:val="0"/>
        <w:jc w:val="both"/>
      </w:pPr>
      <w:r>
        <w:rPr>
          <w:sz w:val="20"/>
        </w:rPr>
      </w:r>
    </w:p>
    <w:p>
      <w:pPr>
        <w:pStyle w:val="0"/>
        <w:outlineLvl w:val="2"/>
        <w:jc w:val="center"/>
      </w:pPr>
      <w:r>
        <w:rPr>
          <w:sz w:val="20"/>
        </w:rPr>
        <w:t xml:space="preserve">III. Сведения о ресурсной, кадровой, организационной</w:t>
      </w:r>
    </w:p>
    <w:p>
      <w:pPr>
        <w:pStyle w:val="0"/>
        <w:jc w:val="center"/>
      </w:pPr>
      <w:r>
        <w:rPr>
          <w:sz w:val="20"/>
        </w:rPr>
        <w:t xml:space="preserve">самостоятельности проекта </w:t>
      </w:r>
      <w:hyperlink w:history="0" w:anchor="P1428" w:tooltip="&lt;2&gt; Описываются:">
        <w:r>
          <w:rPr>
            <w:sz w:val="20"/>
            <w:color w:val="0000ff"/>
          </w:rPr>
          <w:t xml:space="preserve">&lt;2&gt;</w:t>
        </w:r>
      </w:hyperlink>
    </w:p>
    <w:p>
      <w:pPr>
        <w:pStyle w:val="0"/>
        <w:jc w:val="both"/>
      </w:pPr>
      <w:r>
        <w:rPr>
          <w:sz w:val="20"/>
        </w:rPr>
      </w:r>
    </w:p>
    <w:p>
      <w:pPr>
        <w:pStyle w:val="0"/>
        <w:outlineLvl w:val="2"/>
        <w:jc w:val="center"/>
      </w:pPr>
      <w:r>
        <w:rPr>
          <w:sz w:val="20"/>
        </w:rPr>
        <w:t xml:space="preserve">IV. План расходов и доходов реализации проекта с финансовым</w:t>
      </w:r>
    </w:p>
    <w:p>
      <w:pPr>
        <w:pStyle w:val="0"/>
        <w:jc w:val="center"/>
      </w:pPr>
      <w:r>
        <w:rPr>
          <w:sz w:val="20"/>
        </w:rPr>
        <w:t xml:space="preserve">обоснованием </w:t>
      </w:r>
      <w:hyperlink w:history="0" w:anchor="P1433" w:tooltip="&lt;3&gt; План расходования средств должен включать в себя исключительно расходы, указанные в пункте 3.7.1 настоящего Порядка, без учета (за исключением) налога на добавленную стоимость (далее - НДС).">
        <w:r>
          <w:rPr>
            <w:sz w:val="20"/>
            <w:color w:val="0000ff"/>
          </w:rPr>
          <w:t xml:space="preserve">&lt;3&gt;</w:t>
        </w:r>
      </w:hyperlink>
    </w:p>
    <w:p>
      <w:pPr>
        <w:pStyle w:val="0"/>
        <w:jc w:val="both"/>
      </w:pPr>
      <w:r>
        <w:rPr>
          <w:sz w:val="20"/>
        </w:rPr>
      </w:r>
    </w:p>
    <w:p>
      <w:pPr>
        <w:pStyle w:val="0"/>
        <w:jc w:val="both"/>
      </w:pPr>
      <w:r>
        <w:rPr>
          <w:sz w:val="20"/>
        </w:rPr>
        <w:t xml:space="preserve">План расходов, источником финансового обеспечения которых является грант</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339"/>
        <w:gridCol w:w="1380"/>
        <w:gridCol w:w="1005"/>
        <w:gridCol w:w="1200"/>
        <w:gridCol w:w="1444"/>
      </w:tblGrid>
      <w:tr>
        <w:tc>
          <w:tcPr>
            <w:tcW w:w="2665" w:type="dxa"/>
            <w:vMerge w:val="restart"/>
          </w:tcPr>
          <w:p>
            <w:pPr>
              <w:pStyle w:val="0"/>
              <w:jc w:val="center"/>
            </w:pPr>
            <w:r>
              <w:rPr>
                <w:sz w:val="20"/>
              </w:rPr>
              <w:t xml:space="preserve">Наименование статьи затрат</w:t>
            </w:r>
          </w:p>
        </w:tc>
        <w:tc>
          <w:tcPr>
            <w:tcW w:w="1339" w:type="dxa"/>
            <w:vMerge w:val="restart"/>
          </w:tcPr>
          <w:p>
            <w:pPr>
              <w:pStyle w:val="0"/>
              <w:jc w:val="center"/>
            </w:pPr>
            <w:r>
              <w:rPr>
                <w:sz w:val="20"/>
              </w:rPr>
              <w:t xml:space="preserve">Количество</w:t>
            </w:r>
          </w:p>
        </w:tc>
        <w:tc>
          <w:tcPr>
            <w:tcW w:w="1380" w:type="dxa"/>
            <w:vMerge w:val="restart"/>
          </w:tcPr>
          <w:p>
            <w:pPr>
              <w:pStyle w:val="0"/>
              <w:jc w:val="center"/>
            </w:pPr>
            <w:r>
              <w:rPr>
                <w:sz w:val="20"/>
              </w:rPr>
              <w:t xml:space="preserve">Цена единицы, рублей</w:t>
            </w:r>
          </w:p>
        </w:tc>
        <w:tc>
          <w:tcPr>
            <w:gridSpan w:val="3"/>
            <w:tcW w:w="3649" w:type="dxa"/>
          </w:tcPr>
          <w:p>
            <w:pPr>
              <w:pStyle w:val="0"/>
              <w:jc w:val="center"/>
            </w:pPr>
            <w:r>
              <w:rPr>
                <w:sz w:val="20"/>
              </w:rPr>
              <w:t xml:space="preserve">Сумма затрат, рублей </w:t>
            </w:r>
            <w:hyperlink w:history="0" w:anchor="P1433" w:tooltip="&lt;3&gt; План расходования средств должен включать в себя исключительно расходы, указанные в пункте 3.7.1 настоящего Порядка, без учета (за исключением) налога на добавленную стоимость (далее - НДС).">
              <w:r>
                <w:rPr>
                  <w:sz w:val="20"/>
                  <w:color w:val="0000ff"/>
                </w:rPr>
                <w:t xml:space="preserve">&lt;3&gt;</w:t>
              </w:r>
            </w:hyperlink>
          </w:p>
        </w:tc>
      </w:tr>
      <w:tr>
        <w:tc>
          <w:tcPr>
            <w:vMerge w:val="continue"/>
          </w:tcPr>
          <w:p/>
        </w:tc>
        <w:tc>
          <w:tcPr>
            <w:vMerge w:val="continue"/>
          </w:tcPr>
          <w:p/>
        </w:tc>
        <w:tc>
          <w:tcPr>
            <w:vMerge w:val="continue"/>
          </w:tcPr>
          <w:p/>
        </w:tc>
        <w:tc>
          <w:tcPr>
            <w:tcW w:w="1005" w:type="dxa"/>
            <w:vMerge w:val="restart"/>
          </w:tcPr>
          <w:p>
            <w:pPr>
              <w:pStyle w:val="0"/>
              <w:jc w:val="center"/>
            </w:pPr>
            <w:r>
              <w:rPr>
                <w:sz w:val="20"/>
              </w:rPr>
              <w:t xml:space="preserve">всего</w:t>
            </w:r>
          </w:p>
        </w:tc>
        <w:tc>
          <w:tcPr>
            <w:gridSpan w:val="2"/>
            <w:tcW w:w="2644"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00" w:type="dxa"/>
          </w:tcPr>
          <w:p>
            <w:pPr>
              <w:pStyle w:val="0"/>
              <w:jc w:val="center"/>
            </w:pPr>
            <w:r>
              <w:rPr>
                <w:sz w:val="20"/>
              </w:rPr>
              <w:t xml:space="preserve">средства гранта</w:t>
            </w:r>
          </w:p>
        </w:tc>
        <w:tc>
          <w:tcPr>
            <w:tcW w:w="1444" w:type="dxa"/>
          </w:tcPr>
          <w:p>
            <w:pPr>
              <w:pStyle w:val="0"/>
              <w:jc w:val="center"/>
            </w:pPr>
            <w:r>
              <w:rPr>
                <w:sz w:val="20"/>
              </w:rPr>
              <w:t xml:space="preserve">собственные и заемные средства (не менее 25%)</w:t>
            </w:r>
          </w:p>
        </w:tc>
      </w:tr>
      <w:tr>
        <w:tc>
          <w:tcPr>
            <w:tcW w:w="2665" w:type="dxa"/>
          </w:tcPr>
          <w:p>
            <w:pPr>
              <w:pStyle w:val="0"/>
              <w:jc w:val="center"/>
            </w:pPr>
            <w:r>
              <w:rPr>
                <w:sz w:val="20"/>
              </w:rPr>
              <w:t xml:space="preserve">1</w:t>
            </w:r>
          </w:p>
        </w:tc>
        <w:tc>
          <w:tcPr>
            <w:tcW w:w="1339" w:type="dxa"/>
          </w:tcPr>
          <w:p>
            <w:pPr>
              <w:pStyle w:val="0"/>
              <w:jc w:val="center"/>
            </w:pPr>
            <w:r>
              <w:rPr>
                <w:sz w:val="20"/>
              </w:rPr>
              <w:t xml:space="preserve">2</w:t>
            </w:r>
          </w:p>
        </w:tc>
        <w:tc>
          <w:tcPr>
            <w:tcW w:w="1380" w:type="dxa"/>
          </w:tcPr>
          <w:p>
            <w:pPr>
              <w:pStyle w:val="0"/>
              <w:jc w:val="center"/>
            </w:pPr>
            <w:r>
              <w:rPr>
                <w:sz w:val="20"/>
              </w:rPr>
              <w:t xml:space="preserve">3</w:t>
            </w:r>
          </w:p>
        </w:tc>
        <w:tc>
          <w:tcPr>
            <w:tcW w:w="1005" w:type="dxa"/>
          </w:tcPr>
          <w:p>
            <w:pPr>
              <w:pStyle w:val="0"/>
              <w:jc w:val="center"/>
            </w:pPr>
            <w:r>
              <w:rPr>
                <w:sz w:val="20"/>
              </w:rPr>
              <w:t xml:space="preserve">4</w:t>
            </w:r>
          </w:p>
        </w:tc>
        <w:tc>
          <w:tcPr>
            <w:tcW w:w="1200" w:type="dxa"/>
          </w:tcPr>
          <w:p>
            <w:pPr>
              <w:pStyle w:val="0"/>
              <w:jc w:val="center"/>
            </w:pPr>
            <w:r>
              <w:rPr>
                <w:sz w:val="20"/>
              </w:rPr>
              <w:t xml:space="preserve">5</w:t>
            </w:r>
          </w:p>
        </w:tc>
        <w:tc>
          <w:tcPr>
            <w:tcW w:w="1444" w:type="dxa"/>
          </w:tcPr>
          <w:p>
            <w:pPr>
              <w:pStyle w:val="0"/>
              <w:jc w:val="center"/>
            </w:pPr>
            <w:r>
              <w:rPr>
                <w:sz w:val="20"/>
              </w:rPr>
              <w:t xml:space="preserve">6</w:t>
            </w:r>
          </w:p>
        </w:tc>
      </w:tr>
      <w:tr>
        <w:tc>
          <w:tcPr>
            <w:gridSpan w:val="6"/>
            <w:tcW w:w="9033" w:type="dxa"/>
          </w:tcPr>
          <w:p>
            <w:pPr>
              <w:pStyle w:val="0"/>
              <w:jc w:val="center"/>
            </w:pPr>
            <w:r>
              <w:rPr>
                <w:sz w:val="20"/>
              </w:rPr>
              <w:t xml:space="preserve">Направления расходов на реализацию проекта</w:t>
            </w:r>
          </w:p>
        </w:tc>
      </w:tr>
      <w:tr>
        <w:tc>
          <w:tcPr>
            <w:gridSpan w:val="6"/>
            <w:tcW w:w="9033" w:type="dxa"/>
          </w:tcPr>
          <w:p>
            <w:pPr>
              <w:pStyle w:val="0"/>
              <w:jc w:val="center"/>
            </w:pPr>
            <w:r>
              <w:rPr>
                <w:sz w:val="20"/>
              </w:rPr>
              <w:t xml:space="preserve">1. Аренда нежилого помещения</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2. Ремонт нежилого помещения, включая приобретение строительных материалов, оборудования, необходимого для ремонта помещения</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3. Аренда и (или) приобретение оргтехники, оборудования (в том числе инвентаря, мебели)</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4. Выплата по передаче прав на франшизу (паушальный платеж)</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6. Оплата коммунальных услуг и услуг электроснабжения</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7. Оформление результатов интеллектуальной деятельности</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8. Приобретение основных средств (за исключением приобретения зданий, сооружений, земельных участков, автомобилей)</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9. Переоборудование транспортных средств для перевозки маломобильных групп населения, в том числе инвалидов</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10. Оплата услуг связи, в том числе информационно-телекоммуникационной сети "Интернет"</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11. Оплата услуг по созданию, технической поддержке, наполнению, развитию и продвижению в средствах массовой информации</w:t>
            </w:r>
          </w:p>
          <w:p>
            <w:pPr>
              <w:pStyle w:val="0"/>
              <w:jc w:val="center"/>
            </w:pPr>
            <w:r>
              <w:rPr>
                <w:sz w:val="20"/>
              </w:rPr>
              <w:t xml:space="preserve">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w:t>
            </w:r>
          </w:p>
          <w:p>
            <w:pPr>
              <w:pStyle w:val="0"/>
              <w:jc w:val="center"/>
            </w:pPr>
            <w:r>
              <w:rPr>
                <w:sz w:val="20"/>
              </w:rPr>
              <w:t xml:space="preserve">на поисковую оптимизацию, услуги/работы по модернизации сайта и аккаунтов в социальных сетях)</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12. Приобретение программного обеспечения и неисключительных прав</w:t>
            </w:r>
          </w:p>
          <w:p>
            <w:pPr>
              <w:pStyle w:val="0"/>
              <w:jc w:val="center"/>
            </w:pPr>
            <w:r>
              <w:rPr>
                <w:sz w:val="20"/>
              </w:rPr>
              <w:t xml:space="preserve">на программное обеспечение (расходы, связанные с получением прав</w:t>
            </w:r>
          </w:p>
          <w:p>
            <w:pPr>
              <w:pStyle w:val="0"/>
              <w:jc w:val="center"/>
            </w:pPr>
            <w:r>
              <w:rPr>
                <w:sz w:val="20"/>
              </w:rPr>
              <w:t xml:space="preserve">по лицензионному соглашению; расходы по адаптации, настройке, внедрению</w:t>
            </w:r>
          </w:p>
          <w:p>
            <w:pPr>
              <w:pStyle w:val="0"/>
              <w:jc w:val="center"/>
            </w:pPr>
            <w:r>
              <w:rPr>
                <w:sz w:val="20"/>
              </w:rPr>
              <w:t xml:space="preserve">и модификации программного обеспечения; расходы по сопровождению программного обеспечения)</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13. Приобретение сырья, расходных материалов, необходимых</w:t>
            </w:r>
          </w:p>
          <w:p>
            <w:pPr>
              <w:pStyle w:val="0"/>
              <w:jc w:val="center"/>
            </w:pPr>
            <w:r>
              <w:rPr>
                <w:sz w:val="20"/>
              </w:rPr>
              <w:t xml:space="preserve">для производства продукции и оказания услуг</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14. Уплата первого взноса (аванса) при заключении договора лизинга</w:t>
            </w:r>
          </w:p>
          <w:p>
            <w:pPr>
              <w:pStyle w:val="0"/>
              <w:jc w:val="center"/>
            </w:pPr>
            <w:r>
              <w:rPr>
                <w:sz w:val="20"/>
              </w:rPr>
              <w:t xml:space="preserve">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gridSpan w:val="6"/>
            <w:tcW w:w="9033" w:type="dxa"/>
          </w:tcPr>
          <w:p>
            <w:pPr>
              <w:pStyle w:val="0"/>
              <w:jc w:val="center"/>
            </w:pPr>
            <w:r>
              <w:rPr>
                <w:sz w:val="20"/>
              </w:rPr>
              <w:t xml:space="preserve">15.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r>
      <w:tr>
        <w:tc>
          <w:tcPr>
            <w:tcW w:w="2665" w:type="dxa"/>
          </w:tcPr>
          <w:p>
            <w:pPr>
              <w:pStyle w:val="0"/>
            </w:pPr>
            <w:r>
              <w:rPr>
                <w:sz w:val="20"/>
              </w:rPr>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r>
        <w:tc>
          <w:tcPr>
            <w:tcW w:w="2665" w:type="dxa"/>
          </w:tcPr>
          <w:p>
            <w:pPr>
              <w:pStyle w:val="0"/>
            </w:pPr>
            <w:r>
              <w:rPr>
                <w:sz w:val="20"/>
              </w:rPr>
              <w:t xml:space="preserve">Итого затрат</w:t>
            </w:r>
          </w:p>
        </w:tc>
        <w:tc>
          <w:tcPr>
            <w:tcW w:w="1339" w:type="dxa"/>
          </w:tcPr>
          <w:p>
            <w:pPr>
              <w:pStyle w:val="0"/>
            </w:pPr>
            <w:r>
              <w:rPr>
                <w:sz w:val="20"/>
              </w:rPr>
            </w:r>
          </w:p>
        </w:tc>
        <w:tc>
          <w:tcPr>
            <w:tcW w:w="1380" w:type="dxa"/>
          </w:tcPr>
          <w:p>
            <w:pPr>
              <w:pStyle w:val="0"/>
            </w:pPr>
            <w:r>
              <w:rPr>
                <w:sz w:val="20"/>
              </w:rPr>
            </w:r>
          </w:p>
        </w:tc>
        <w:tc>
          <w:tcPr>
            <w:tcW w:w="1005" w:type="dxa"/>
          </w:tcPr>
          <w:p>
            <w:pPr>
              <w:pStyle w:val="0"/>
            </w:pPr>
            <w:r>
              <w:rPr>
                <w:sz w:val="20"/>
              </w:rPr>
            </w:r>
          </w:p>
        </w:tc>
        <w:tc>
          <w:tcPr>
            <w:tcW w:w="1200" w:type="dxa"/>
          </w:tcPr>
          <w:p>
            <w:pPr>
              <w:pStyle w:val="0"/>
            </w:pPr>
            <w:r>
              <w:rPr>
                <w:sz w:val="20"/>
              </w:rPr>
            </w:r>
          </w:p>
        </w:tc>
        <w:tc>
          <w:tcPr>
            <w:tcW w:w="1444" w:type="dxa"/>
          </w:tcPr>
          <w:p>
            <w:pPr>
              <w:pStyle w:val="0"/>
            </w:pPr>
            <w:r>
              <w:rPr>
                <w:sz w:val="20"/>
              </w:rPr>
            </w:r>
          </w:p>
        </w:tc>
      </w:tr>
    </w:tbl>
    <w:p>
      <w:pPr>
        <w:pStyle w:val="0"/>
        <w:jc w:val="both"/>
      </w:pPr>
      <w:r>
        <w:rPr>
          <w:sz w:val="20"/>
        </w:rPr>
      </w:r>
    </w:p>
    <w:p>
      <w:pPr>
        <w:pStyle w:val="0"/>
        <w:jc w:val="center"/>
      </w:pPr>
      <w:r>
        <w:rPr>
          <w:sz w:val="20"/>
        </w:rPr>
        <w:t xml:space="preserve">План расходов и доходов</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53"/>
        <w:gridCol w:w="859"/>
        <w:gridCol w:w="859"/>
        <w:gridCol w:w="859"/>
        <w:gridCol w:w="850"/>
        <w:gridCol w:w="1247"/>
      </w:tblGrid>
      <w:tr>
        <w:tc>
          <w:tcPr>
            <w:tcW w:w="4353" w:type="dxa"/>
            <w:vMerge w:val="restart"/>
          </w:tcPr>
          <w:p>
            <w:pPr>
              <w:pStyle w:val="0"/>
              <w:jc w:val="center"/>
            </w:pPr>
            <w:r>
              <w:rPr>
                <w:sz w:val="20"/>
              </w:rPr>
              <w:t xml:space="preserve">Наименование статьи затрат / дохода</w:t>
            </w:r>
          </w:p>
        </w:tc>
        <w:tc>
          <w:tcPr>
            <w:gridSpan w:val="5"/>
            <w:tcW w:w="4674" w:type="dxa"/>
          </w:tcPr>
          <w:p>
            <w:pPr>
              <w:pStyle w:val="0"/>
              <w:jc w:val="center"/>
            </w:pPr>
            <w:r>
              <w:rPr>
                <w:sz w:val="20"/>
              </w:rPr>
              <w:t xml:space="preserve">Сумма затрат / дохода, руб.</w:t>
            </w:r>
          </w:p>
          <w:p>
            <w:pPr>
              <w:pStyle w:val="0"/>
              <w:jc w:val="center"/>
            </w:pPr>
            <w:r>
              <w:rPr>
                <w:sz w:val="20"/>
              </w:rPr>
              <w:t xml:space="preserve">Период реализации проекта </w:t>
            </w:r>
            <w:hyperlink w:history="0" w:anchor="P1434" w:tooltip="&lt;4&gt; Периодом реализации проекта определен квартал.">
              <w:r>
                <w:rPr>
                  <w:sz w:val="20"/>
                  <w:color w:val="0000ff"/>
                </w:rPr>
                <w:t xml:space="preserve">&lt;4&gt;</w:t>
              </w:r>
            </w:hyperlink>
          </w:p>
        </w:tc>
      </w:tr>
      <w:tr>
        <w:tc>
          <w:tcPr>
            <w:vMerge w:val="continue"/>
          </w:tcPr>
          <w:p/>
        </w:tc>
        <w:tc>
          <w:tcPr>
            <w:tcW w:w="859" w:type="dxa"/>
          </w:tcPr>
          <w:p>
            <w:pPr>
              <w:pStyle w:val="0"/>
              <w:jc w:val="center"/>
            </w:pPr>
            <w:r>
              <w:rPr>
                <w:sz w:val="20"/>
              </w:rPr>
              <w:t xml:space="preserve">Всего</w:t>
            </w:r>
          </w:p>
        </w:tc>
        <w:tc>
          <w:tcPr>
            <w:tcW w:w="859" w:type="dxa"/>
          </w:tcPr>
          <w:p>
            <w:pPr>
              <w:pStyle w:val="0"/>
              <w:jc w:val="center"/>
            </w:pPr>
            <w:r>
              <w:rPr>
                <w:sz w:val="20"/>
              </w:rPr>
              <w:t xml:space="preserve">1 период</w:t>
            </w:r>
          </w:p>
        </w:tc>
        <w:tc>
          <w:tcPr>
            <w:tcW w:w="859" w:type="dxa"/>
          </w:tcPr>
          <w:p>
            <w:pPr>
              <w:pStyle w:val="0"/>
              <w:jc w:val="center"/>
            </w:pPr>
            <w:r>
              <w:rPr>
                <w:sz w:val="20"/>
              </w:rPr>
              <w:t xml:space="preserve">2 период</w:t>
            </w:r>
          </w:p>
        </w:tc>
        <w:tc>
          <w:tcPr>
            <w:tcW w:w="850" w:type="dxa"/>
          </w:tcPr>
          <w:p>
            <w:pPr>
              <w:pStyle w:val="0"/>
              <w:jc w:val="center"/>
            </w:pPr>
            <w:r>
              <w:rPr>
                <w:sz w:val="20"/>
              </w:rPr>
              <w:t xml:space="preserve">...</w:t>
            </w:r>
          </w:p>
        </w:tc>
        <w:tc>
          <w:tcPr>
            <w:tcW w:w="1247" w:type="dxa"/>
          </w:tcPr>
          <w:p>
            <w:pPr>
              <w:pStyle w:val="0"/>
              <w:jc w:val="center"/>
            </w:pPr>
            <w:r>
              <w:rPr>
                <w:sz w:val="20"/>
              </w:rPr>
              <w:t xml:space="preserve">N период</w:t>
            </w:r>
          </w:p>
        </w:tc>
      </w:tr>
      <w:tr>
        <w:tc>
          <w:tcPr>
            <w:tcW w:w="4353" w:type="dxa"/>
          </w:tcPr>
          <w:p>
            <w:pPr>
              <w:pStyle w:val="0"/>
            </w:pPr>
            <w:r>
              <w:rPr>
                <w:sz w:val="20"/>
              </w:rPr>
              <w:t xml:space="preserve">ВСЕГО ЗАТРАТЫ (стр. I + стр. II + стр. III)</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pPr>
            <w:r>
              <w:rPr>
                <w:sz w:val="20"/>
              </w:rPr>
              <w:t xml:space="preserve">I. Капитальные затраты, руб.</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II. Операционные затраты, руб., в том числе</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pPr>
            <w:r>
              <w:rPr>
                <w:sz w:val="20"/>
              </w:rPr>
              <w:t xml:space="preserve">1. Амортизационные отчисления (собственные и заемные), руб.</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2. Затраты на оплату труда (собственные и заемные), руб.</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3. Прочие затраты (собственные и заемные), руб.</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III. Налоги и взносы, руб. (собственные и заемные)</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ВСЕГО ДОХОДЫ (стр. IV + стр. V)</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IV. Доходы от реализации, руб.</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r>
        <w:tc>
          <w:tcPr>
            <w:tcW w:w="4353" w:type="dxa"/>
          </w:tcPr>
          <w:p>
            <w:pPr>
              <w:pStyle w:val="0"/>
              <w:jc w:val="both"/>
            </w:pPr>
            <w:r>
              <w:rPr>
                <w:sz w:val="20"/>
              </w:rPr>
              <w:t xml:space="preserve">V. Прочие доходы, руб.</w:t>
            </w:r>
          </w:p>
        </w:tc>
        <w:tc>
          <w:tcPr>
            <w:tcW w:w="859" w:type="dxa"/>
          </w:tcPr>
          <w:p>
            <w:pPr>
              <w:pStyle w:val="0"/>
            </w:pPr>
            <w:r>
              <w:rPr>
                <w:sz w:val="20"/>
              </w:rPr>
            </w:r>
          </w:p>
        </w:tc>
        <w:tc>
          <w:tcPr>
            <w:tcW w:w="859" w:type="dxa"/>
          </w:tcPr>
          <w:p>
            <w:pPr>
              <w:pStyle w:val="0"/>
            </w:pPr>
            <w:r>
              <w:rPr>
                <w:sz w:val="20"/>
              </w:rPr>
            </w:r>
          </w:p>
        </w:tc>
        <w:tc>
          <w:tcPr>
            <w:tcW w:w="859" w:type="dxa"/>
          </w:tcPr>
          <w:p>
            <w:pPr>
              <w:pStyle w:val="0"/>
            </w:pPr>
            <w:r>
              <w:rPr>
                <w:sz w:val="20"/>
              </w:rPr>
            </w:r>
          </w:p>
        </w:tc>
        <w:tc>
          <w:tcPr>
            <w:tcW w:w="850" w:type="dxa"/>
          </w:tcPr>
          <w:p>
            <w:pPr>
              <w:pStyle w:val="0"/>
            </w:pPr>
            <w:r>
              <w:rPr>
                <w:sz w:val="20"/>
              </w:rPr>
            </w:r>
          </w:p>
        </w:tc>
        <w:tc>
          <w:tcPr>
            <w:tcW w:w="1247" w:type="dxa"/>
          </w:tcPr>
          <w:p>
            <w:pPr>
              <w:pStyle w:val="0"/>
            </w:pPr>
            <w:r>
              <w:rPr>
                <w:sz w:val="20"/>
              </w:rPr>
            </w:r>
          </w:p>
        </w:tc>
      </w:tr>
    </w:tbl>
    <w:p>
      <w:pPr>
        <w:pStyle w:val="0"/>
        <w:jc w:val="both"/>
      </w:pPr>
      <w:r>
        <w:rPr>
          <w:sz w:val="20"/>
        </w:rPr>
      </w:r>
    </w:p>
    <w:p>
      <w:pPr>
        <w:pStyle w:val="0"/>
        <w:outlineLvl w:val="2"/>
        <w:jc w:val="center"/>
      </w:pPr>
      <w:r>
        <w:rPr>
          <w:sz w:val="20"/>
        </w:rPr>
        <w:t xml:space="preserve">V. План реализации проекта в сфере предпринимательской</w:t>
      </w:r>
    </w:p>
    <w:p>
      <w:pPr>
        <w:pStyle w:val="0"/>
        <w:jc w:val="center"/>
      </w:pPr>
      <w:r>
        <w:rPr>
          <w:sz w:val="20"/>
        </w:rPr>
        <w:t xml:space="preserve">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9"/>
        <w:gridCol w:w="3243"/>
        <w:gridCol w:w="1560"/>
        <w:gridCol w:w="2227"/>
        <w:gridCol w:w="1644"/>
      </w:tblGrid>
      <w:tr>
        <w:tc>
          <w:tcPr>
            <w:tcW w:w="389" w:type="dxa"/>
            <w:vAlign w:val="center"/>
          </w:tcPr>
          <w:p>
            <w:pPr>
              <w:pStyle w:val="0"/>
              <w:jc w:val="center"/>
            </w:pPr>
            <w:r>
              <w:rPr>
                <w:sz w:val="20"/>
              </w:rPr>
              <w:t xml:space="preserve">N</w:t>
            </w:r>
          </w:p>
        </w:tc>
        <w:tc>
          <w:tcPr>
            <w:tcW w:w="3243" w:type="dxa"/>
            <w:vAlign w:val="center"/>
          </w:tcPr>
          <w:p>
            <w:pPr>
              <w:pStyle w:val="0"/>
              <w:jc w:val="center"/>
            </w:pPr>
            <w:r>
              <w:rPr>
                <w:sz w:val="20"/>
              </w:rPr>
              <w:t xml:space="preserve">Наименование мероприятия проекта</w:t>
            </w:r>
          </w:p>
        </w:tc>
        <w:tc>
          <w:tcPr>
            <w:tcW w:w="1560" w:type="dxa"/>
            <w:vAlign w:val="center"/>
          </w:tcPr>
          <w:p>
            <w:pPr>
              <w:pStyle w:val="0"/>
              <w:jc w:val="center"/>
            </w:pPr>
            <w:r>
              <w:rPr>
                <w:sz w:val="20"/>
              </w:rPr>
              <w:t xml:space="preserve">Начало реализации мероприятия проекта</w:t>
            </w:r>
          </w:p>
        </w:tc>
        <w:tc>
          <w:tcPr>
            <w:tcW w:w="2227" w:type="dxa"/>
            <w:vAlign w:val="center"/>
          </w:tcPr>
          <w:p>
            <w:pPr>
              <w:pStyle w:val="0"/>
              <w:jc w:val="center"/>
            </w:pPr>
            <w:r>
              <w:rPr>
                <w:sz w:val="20"/>
              </w:rPr>
              <w:t xml:space="preserve">Итоговые сроки реализации мероприятия проекта</w:t>
            </w:r>
          </w:p>
        </w:tc>
        <w:tc>
          <w:tcPr>
            <w:tcW w:w="1644" w:type="dxa"/>
            <w:vAlign w:val="center"/>
          </w:tcPr>
          <w:p>
            <w:pPr>
              <w:pStyle w:val="0"/>
              <w:jc w:val="center"/>
            </w:pPr>
            <w:r>
              <w:rPr>
                <w:sz w:val="20"/>
              </w:rPr>
              <w:t xml:space="preserve">Результат</w:t>
            </w:r>
          </w:p>
        </w:tc>
      </w:tr>
      <w:tr>
        <w:tc>
          <w:tcPr>
            <w:tcW w:w="389" w:type="dxa"/>
          </w:tcPr>
          <w:p>
            <w:pPr>
              <w:pStyle w:val="0"/>
            </w:pPr>
            <w:r>
              <w:rPr>
                <w:sz w:val="20"/>
              </w:rPr>
            </w:r>
          </w:p>
        </w:tc>
        <w:tc>
          <w:tcPr>
            <w:tcW w:w="3243" w:type="dxa"/>
          </w:tcPr>
          <w:p>
            <w:pPr>
              <w:pStyle w:val="0"/>
            </w:pPr>
            <w:r>
              <w:rPr>
                <w:sz w:val="20"/>
              </w:rPr>
            </w:r>
          </w:p>
        </w:tc>
        <w:tc>
          <w:tcPr>
            <w:tcW w:w="1560" w:type="dxa"/>
          </w:tcPr>
          <w:p>
            <w:pPr>
              <w:pStyle w:val="0"/>
            </w:pPr>
            <w:r>
              <w:rPr>
                <w:sz w:val="20"/>
              </w:rPr>
            </w:r>
          </w:p>
        </w:tc>
        <w:tc>
          <w:tcPr>
            <w:tcW w:w="2227" w:type="dxa"/>
          </w:tcPr>
          <w:p>
            <w:pPr>
              <w:pStyle w:val="0"/>
            </w:pPr>
            <w:r>
              <w:rPr>
                <w:sz w:val="20"/>
              </w:rPr>
            </w:r>
          </w:p>
        </w:tc>
        <w:tc>
          <w:tcPr>
            <w:tcW w:w="1644" w:type="dxa"/>
          </w:tcPr>
          <w:p>
            <w:pPr>
              <w:pStyle w:val="0"/>
            </w:pPr>
            <w:r>
              <w:rPr>
                <w:sz w:val="20"/>
              </w:rPr>
            </w:r>
          </w:p>
        </w:tc>
      </w:tr>
      <w:tr>
        <w:tc>
          <w:tcPr>
            <w:tcW w:w="389" w:type="dxa"/>
          </w:tcPr>
          <w:p>
            <w:pPr>
              <w:pStyle w:val="0"/>
            </w:pPr>
            <w:r>
              <w:rPr>
                <w:sz w:val="20"/>
              </w:rPr>
            </w:r>
          </w:p>
        </w:tc>
        <w:tc>
          <w:tcPr>
            <w:tcW w:w="3243" w:type="dxa"/>
          </w:tcPr>
          <w:p>
            <w:pPr>
              <w:pStyle w:val="0"/>
            </w:pPr>
            <w:r>
              <w:rPr>
                <w:sz w:val="20"/>
              </w:rPr>
            </w:r>
          </w:p>
        </w:tc>
        <w:tc>
          <w:tcPr>
            <w:tcW w:w="1560" w:type="dxa"/>
          </w:tcPr>
          <w:p>
            <w:pPr>
              <w:pStyle w:val="0"/>
            </w:pPr>
            <w:r>
              <w:rPr>
                <w:sz w:val="20"/>
              </w:rPr>
            </w:r>
          </w:p>
        </w:tc>
        <w:tc>
          <w:tcPr>
            <w:tcW w:w="2227" w:type="dxa"/>
          </w:tcPr>
          <w:p>
            <w:pPr>
              <w:pStyle w:val="0"/>
            </w:pPr>
            <w:r>
              <w:rPr>
                <w:sz w:val="20"/>
              </w:rPr>
            </w:r>
          </w:p>
        </w:tc>
        <w:tc>
          <w:tcPr>
            <w:tcW w:w="1644" w:type="dxa"/>
          </w:tcPr>
          <w:p>
            <w:pPr>
              <w:pStyle w:val="0"/>
            </w:pPr>
            <w:r>
              <w:rPr>
                <w:sz w:val="20"/>
              </w:rPr>
            </w:r>
          </w:p>
        </w:tc>
      </w:tr>
    </w:tbl>
    <w:p>
      <w:pPr>
        <w:pStyle w:val="0"/>
        <w:jc w:val="both"/>
      </w:pPr>
      <w:r>
        <w:rPr>
          <w:sz w:val="20"/>
        </w:rPr>
      </w:r>
    </w:p>
    <w:p>
      <w:pPr>
        <w:pStyle w:val="0"/>
        <w:outlineLvl w:val="2"/>
        <w:jc w:val="center"/>
      </w:pPr>
      <w:r>
        <w:rPr>
          <w:sz w:val="20"/>
        </w:rPr>
        <w:t xml:space="preserve">VI. Показатели эффективности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00"/>
        <w:gridCol w:w="4076"/>
      </w:tblGrid>
      <w:tr>
        <w:tc>
          <w:tcPr>
            <w:tcW w:w="4900" w:type="dxa"/>
            <w:vAlign w:val="bottom"/>
          </w:tcPr>
          <w:p>
            <w:pPr>
              <w:pStyle w:val="0"/>
            </w:pPr>
            <w:r>
              <w:rPr>
                <w:sz w:val="20"/>
              </w:rPr>
              <w:t xml:space="preserve">Чистая прибыль, руб.</w:t>
            </w:r>
          </w:p>
        </w:tc>
        <w:tc>
          <w:tcPr>
            <w:tcW w:w="4076" w:type="dxa"/>
            <w:vAlign w:val="bottom"/>
          </w:tcPr>
          <w:p>
            <w:pPr>
              <w:pStyle w:val="0"/>
            </w:pPr>
            <w:r>
              <w:rPr>
                <w:sz w:val="20"/>
              </w:rPr>
            </w:r>
          </w:p>
        </w:tc>
      </w:tr>
      <w:tr>
        <w:tc>
          <w:tcPr>
            <w:tcW w:w="4900" w:type="dxa"/>
            <w:vAlign w:val="bottom"/>
          </w:tcPr>
          <w:p>
            <w:pPr>
              <w:pStyle w:val="0"/>
            </w:pPr>
            <w:r>
              <w:rPr>
                <w:sz w:val="20"/>
              </w:rPr>
              <w:t xml:space="preserve">Выручка, руб.</w:t>
            </w:r>
          </w:p>
        </w:tc>
        <w:tc>
          <w:tcPr>
            <w:tcW w:w="4076" w:type="dxa"/>
            <w:vAlign w:val="bottom"/>
          </w:tcPr>
          <w:p>
            <w:pPr>
              <w:pStyle w:val="0"/>
            </w:pPr>
            <w:r>
              <w:rPr>
                <w:sz w:val="20"/>
              </w:rPr>
            </w:r>
          </w:p>
        </w:tc>
      </w:tr>
      <w:tr>
        <w:tc>
          <w:tcPr>
            <w:tcW w:w="4900" w:type="dxa"/>
            <w:vAlign w:val="bottom"/>
          </w:tcPr>
          <w:p>
            <w:pPr>
              <w:pStyle w:val="0"/>
            </w:pPr>
            <w:r>
              <w:rPr>
                <w:sz w:val="20"/>
              </w:rPr>
              <w:t xml:space="preserve">Вложения, руб.</w:t>
            </w:r>
          </w:p>
        </w:tc>
        <w:tc>
          <w:tcPr>
            <w:tcW w:w="4076" w:type="dxa"/>
            <w:vAlign w:val="bottom"/>
          </w:tcPr>
          <w:p>
            <w:pPr>
              <w:pStyle w:val="0"/>
            </w:pPr>
            <w:r>
              <w:rPr>
                <w:sz w:val="20"/>
              </w:rPr>
            </w:r>
          </w:p>
        </w:tc>
      </w:tr>
      <w:tr>
        <w:tc>
          <w:tcPr>
            <w:tcW w:w="4900" w:type="dxa"/>
            <w:vAlign w:val="bottom"/>
          </w:tcPr>
          <w:p>
            <w:pPr>
              <w:pStyle w:val="0"/>
            </w:pPr>
            <w:r>
              <w:rPr>
                <w:sz w:val="20"/>
              </w:rPr>
              <w:t xml:space="preserve">Рентабельность продаж, %</w:t>
            </w:r>
          </w:p>
        </w:tc>
        <w:tc>
          <w:tcPr>
            <w:tcW w:w="4076" w:type="dxa"/>
            <w:vAlign w:val="bottom"/>
          </w:tcPr>
          <w:p>
            <w:pPr>
              <w:pStyle w:val="0"/>
            </w:pPr>
            <w:r>
              <w:rPr>
                <w:sz w:val="20"/>
              </w:rPr>
            </w:r>
          </w:p>
        </w:tc>
      </w:tr>
      <w:tr>
        <w:tc>
          <w:tcPr>
            <w:tcW w:w="4900" w:type="dxa"/>
            <w:vAlign w:val="bottom"/>
          </w:tcPr>
          <w:p>
            <w:pPr>
              <w:pStyle w:val="0"/>
            </w:pPr>
            <w:r>
              <w:rPr>
                <w:sz w:val="20"/>
              </w:rPr>
              <w:t xml:space="preserve">Рентабельность вложений, %</w:t>
            </w:r>
          </w:p>
        </w:tc>
        <w:tc>
          <w:tcPr>
            <w:tcW w:w="4076" w:type="dxa"/>
            <w:vAlign w:val="bottom"/>
          </w:tcPr>
          <w:p>
            <w:pPr>
              <w:pStyle w:val="0"/>
            </w:pPr>
            <w:r>
              <w:rPr>
                <w:sz w:val="20"/>
              </w:rPr>
            </w:r>
          </w:p>
        </w:tc>
      </w:tr>
      <w:tr>
        <w:tc>
          <w:tcPr>
            <w:tcW w:w="4900" w:type="dxa"/>
            <w:vAlign w:val="bottom"/>
          </w:tcPr>
          <w:p>
            <w:pPr>
              <w:pStyle w:val="0"/>
            </w:pPr>
            <w:r>
              <w:rPr>
                <w:sz w:val="20"/>
              </w:rPr>
              <w:t xml:space="preserve">Срок окупаемости</w:t>
            </w:r>
          </w:p>
        </w:tc>
        <w:tc>
          <w:tcPr>
            <w:tcW w:w="4076" w:type="dxa"/>
            <w:vAlign w:val="bottom"/>
          </w:tcPr>
          <w:p>
            <w:pPr>
              <w:pStyle w:val="0"/>
            </w:pPr>
            <w:r>
              <w:rPr>
                <w:sz w:val="20"/>
              </w:rPr>
            </w:r>
          </w:p>
        </w:tc>
      </w:tr>
    </w:tbl>
    <w:p>
      <w:pPr>
        <w:pStyle w:val="0"/>
        <w:jc w:val="both"/>
      </w:pPr>
      <w:r>
        <w:rPr>
          <w:sz w:val="20"/>
        </w:rPr>
      </w:r>
    </w:p>
    <w:p>
      <w:pPr>
        <w:pStyle w:val="0"/>
        <w:ind w:firstLine="540"/>
        <w:jc w:val="both"/>
      </w:pPr>
      <w:r>
        <w:rPr>
          <w:sz w:val="20"/>
        </w:rPr>
        <w:t xml:space="preserve">--------------------------------</w:t>
      </w:r>
    </w:p>
    <w:bookmarkStart w:id="1427" w:name="P1427"/>
    <w:bookmarkEnd w:id="1427"/>
    <w:p>
      <w:pPr>
        <w:pStyle w:val="0"/>
        <w:spacing w:before="200" w:line-rule="auto"/>
        <w:ind w:firstLine="540"/>
        <w:jc w:val="both"/>
      </w:pPr>
      <w:r>
        <w:rPr>
          <w:sz w:val="20"/>
        </w:rPr>
        <w:t xml:space="preserve">&lt;1&gt; В разделе описывается цель данного проекта для субъекта МСП, обосновывается необходимость реализации проекта для субъекта предпринимательства, а также задачи проекта (перечислить перечень мероприятий, которые необходимо выполнить для достижения целей проекта). Данный перечень должен сопоставляться с планом реализации проекта.</w:t>
      </w:r>
    </w:p>
    <w:bookmarkStart w:id="1428" w:name="P1428"/>
    <w:bookmarkEnd w:id="1428"/>
    <w:p>
      <w:pPr>
        <w:pStyle w:val="0"/>
        <w:spacing w:before="200" w:line-rule="auto"/>
        <w:ind w:firstLine="540"/>
        <w:jc w:val="both"/>
      </w:pPr>
      <w:r>
        <w:rPr>
          <w:sz w:val="20"/>
        </w:rPr>
        <w:t xml:space="preserve">&lt;2&gt; Описываются:</w:t>
      </w:r>
    </w:p>
    <w:p>
      <w:pPr>
        <w:pStyle w:val="0"/>
        <w:spacing w:before="200" w:line-rule="auto"/>
        <w:ind w:firstLine="540"/>
        <w:jc w:val="both"/>
      </w:pPr>
      <w:r>
        <w:rPr>
          <w:sz w:val="20"/>
        </w:rPr>
        <w:t xml:space="preserve">- основные этапы и процессы производства товаров (оказания услуг, выполнения работ) в рамках реализации проекта, эффект (создание нового продукта/услуги, импортозамещение);</w:t>
      </w:r>
    </w:p>
    <w:p>
      <w:pPr>
        <w:pStyle w:val="0"/>
        <w:spacing w:before="200" w:line-rule="auto"/>
        <w:ind w:firstLine="540"/>
        <w:jc w:val="both"/>
      </w:pPr>
      <w:r>
        <w:rPr>
          <w:sz w:val="20"/>
        </w:rPr>
        <w:t xml:space="preserve">- сведения о материальных ресурсах, необходимых для реализации проекта, о возможных поставщиках сырья и материалов (наименование поставщика, условия поставок), прогнозных ценах на сырье и материалы, риски и ограничения проекта, обусловленные материальными ресурсами, необходимыми для реализации проекта;</w:t>
      </w:r>
    </w:p>
    <w:p>
      <w:pPr>
        <w:pStyle w:val="0"/>
        <w:spacing w:before="200" w:line-rule="auto"/>
        <w:ind w:firstLine="540"/>
        <w:jc w:val="both"/>
      </w:pPr>
      <w:r>
        <w:rPr>
          <w:sz w:val="20"/>
        </w:rPr>
        <w:t xml:space="preserve">- сведения о персонале, планируемом к привлечению в целях реализации проекта. При необходимости привлечения в проект специалистов с уникальной квалификацией указываются источники формирования и (или) обучения кадров с указанием опыта их работы в соответствующей сфере. В целях подтверждения квалификации персонала могут быть предоставлены подтверждающие документы (копии документов по основному персоналу, реализующему проект: дипломов, сертификатов и др.) вместе с согласием на обработку персональных данных персонала.</w:t>
      </w:r>
    </w:p>
    <w:p>
      <w:pPr>
        <w:pStyle w:val="0"/>
        <w:spacing w:before="200" w:line-rule="auto"/>
        <w:ind w:firstLine="540"/>
        <w:jc w:val="both"/>
      </w:pPr>
      <w:r>
        <w:rPr>
          <w:sz w:val="20"/>
        </w:rPr>
        <w:t xml:space="preserve">- сведения о потенциале сбыта продукции (услуг, работ): характеристика, описание уникальных свойств (при наличии) продукции (услуг, работ), оценка возможного объема рынка (регионального, российского, мирового), прогноз развития продукта и рынка сбыта на период реализации проекта, описание основных компаний - конкурентов на рынке, основных продуктов - конкурентов, прогноз объемов производства и продаж, цен по видам продукции (услуг, работ) на каждый год реализации проекта, окупаемость проекта.</w:t>
      </w:r>
    </w:p>
    <w:bookmarkStart w:id="1433" w:name="P1433"/>
    <w:bookmarkEnd w:id="1433"/>
    <w:p>
      <w:pPr>
        <w:pStyle w:val="0"/>
        <w:spacing w:before="200" w:line-rule="auto"/>
        <w:ind w:firstLine="540"/>
        <w:jc w:val="both"/>
      </w:pPr>
      <w:r>
        <w:rPr>
          <w:sz w:val="20"/>
        </w:rPr>
        <w:t xml:space="preserve">&lt;3&gt; План расходования средств должен включать в себя исключительно расходы, указанные в </w:t>
      </w:r>
      <w:hyperlink w:history="0" w:anchor="P427" w:tooltip="3.7.1. Грант предоставляется в полном объеме (в соответствии с решением Комиссии в пределах лимитов бюджетных обязательств, утвержденных на реализацию соответствующего мероприятия государственной программы) на финансовое обеспечение следующих расходов, связанных с реализацией проекта в сфере социального предпринимательства или проекта в сфере предпринимательской деятельности:">
        <w:r>
          <w:rPr>
            <w:sz w:val="20"/>
            <w:color w:val="0000ff"/>
          </w:rPr>
          <w:t xml:space="preserve">пункте 3.7.1</w:t>
        </w:r>
      </w:hyperlink>
      <w:r>
        <w:rPr>
          <w:sz w:val="20"/>
        </w:rPr>
        <w:t xml:space="preserve"> настоящего Порядка, без учета (за исключением) налога на добавленную стоимость (далее - НДС).</w:t>
      </w:r>
    </w:p>
    <w:bookmarkStart w:id="1434" w:name="P1434"/>
    <w:bookmarkEnd w:id="1434"/>
    <w:p>
      <w:pPr>
        <w:pStyle w:val="0"/>
        <w:spacing w:before="200" w:line-rule="auto"/>
        <w:ind w:firstLine="540"/>
        <w:jc w:val="both"/>
      </w:pPr>
      <w:r>
        <w:rPr>
          <w:sz w:val="20"/>
        </w:rPr>
        <w:t xml:space="preserve">&lt;4&gt; Периодом реализации проекта определен квартал.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w:t>
      </w:r>
    </w:p>
    <w:p>
      <w:pPr>
        <w:pStyle w:val="0"/>
        <w:jc w:val="right"/>
      </w:pPr>
      <w:r>
        <w:rPr>
          <w:sz w:val="20"/>
        </w:rPr>
        <w:t xml:space="preserve">малого и среднего предпринимательства, созданным</w:t>
      </w:r>
    </w:p>
    <w:p>
      <w:pPr>
        <w:pStyle w:val="0"/>
        <w:jc w:val="right"/>
      </w:pPr>
      <w:r>
        <w:rPr>
          <w:sz w:val="20"/>
        </w:rPr>
        <w:t xml:space="preserve">физическими 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20.06.2022 </w:t>
            </w:r>
            <w:hyperlink w:history="0" r:id="rId278"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color w:val="392c69"/>
              </w:rPr>
              <w:t xml:space="preserve">,</w:t>
            </w:r>
          </w:p>
          <w:p>
            <w:pPr>
              <w:pStyle w:val="0"/>
              <w:jc w:val="center"/>
            </w:pPr>
            <w:r>
              <w:rPr>
                <w:sz w:val="20"/>
                <w:color w:val="392c69"/>
              </w:rPr>
              <w:t xml:space="preserve">от 20.12.2022 </w:t>
            </w:r>
            <w:hyperlink w:history="0" r:id="rId279"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 от 09.10.2023 </w:t>
            </w:r>
            <w:hyperlink w:history="0" r:id="rId280"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инвестиционной политики и</w:t>
      </w:r>
    </w:p>
    <w:p>
      <w:pPr>
        <w:pStyle w:val="1"/>
        <w:jc w:val="both"/>
      </w:pPr>
      <w:r>
        <w:rPr>
          <w:sz w:val="20"/>
        </w:rPr>
        <w:t xml:space="preserve">                                                  государственной поддержки</w:t>
      </w:r>
    </w:p>
    <w:p>
      <w:pPr>
        <w:pStyle w:val="1"/>
        <w:jc w:val="both"/>
      </w:pPr>
      <w:r>
        <w:rPr>
          <w:sz w:val="20"/>
        </w:rPr>
        <w:t xml:space="preserve">                                                        предпринимательства</w:t>
      </w:r>
    </w:p>
    <w:p>
      <w:pPr>
        <w:pStyle w:val="1"/>
        <w:jc w:val="both"/>
      </w:pPr>
      <w:r>
        <w:rPr>
          <w:sz w:val="20"/>
        </w:rPr>
        <w:t xml:space="preserve">                                                          Тюменской области</w:t>
      </w:r>
    </w:p>
    <w:p>
      <w:pPr>
        <w:pStyle w:val="1"/>
        <w:jc w:val="both"/>
      </w:pPr>
      <w:r>
        <w:rPr>
          <w:sz w:val="20"/>
        </w:rPr>
      </w:r>
    </w:p>
    <w:p>
      <w:pPr>
        <w:pStyle w:val="1"/>
        <w:jc w:val="both"/>
      </w:pPr>
      <w:r>
        <w:rPr>
          <w:sz w:val="20"/>
        </w:rPr>
        <w:t xml:space="preserve">                                                ___________________________</w:t>
      </w:r>
    </w:p>
    <w:p>
      <w:pPr>
        <w:pStyle w:val="1"/>
        <w:jc w:val="both"/>
      </w:pPr>
      <w:r>
        <w:rPr>
          <w:sz w:val="20"/>
        </w:rPr>
      </w:r>
    </w:p>
    <w:p>
      <w:pPr>
        <w:pStyle w:val="1"/>
        <w:jc w:val="both"/>
      </w:pPr>
      <w:r>
        <w:rPr>
          <w:sz w:val="20"/>
        </w:rPr>
      </w:r>
    </w:p>
    <w:bookmarkStart w:id="1460" w:name="P1460"/>
    <w:bookmarkEnd w:id="1460"/>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Субъект персональных данных, _____________________________________________,</w:t>
      </w:r>
    </w:p>
    <w:p>
      <w:pPr>
        <w:pStyle w:val="1"/>
        <w:jc w:val="both"/>
      </w:pPr>
      <w:r>
        <w:rPr>
          <w:sz w:val="20"/>
        </w:rPr>
        <w:t xml:space="preserve">                                             (Ф.И.О.)</w:t>
      </w:r>
    </w:p>
    <w:p>
      <w:pPr>
        <w:pStyle w:val="1"/>
        <w:jc w:val="both"/>
      </w:pPr>
      <w:r>
        <w:rPr>
          <w:sz w:val="20"/>
        </w:rPr>
        <w:t xml:space="preserve">Проживающий (-ая) по адресу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(фактический адрес проживания)</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серия ______________ номер _________________, выданный 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дата выдачи документа _____________________________________________________</w:t>
      </w:r>
    </w:p>
    <w:p>
      <w:pPr>
        <w:pStyle w:val="1"/>
        <w:jc w:val="both"/>
      </w:pPr>
      <w:r>
        <w:rPr>
          <w:sz w:val="20"/>
        </w:rPr>
      </w:r>
    </w:p>
    <w:p>
      <w:pPr>
        <w:pStyle w:val="1"/>
        <w:jc w:val="both"/>
      </w:pPr>
      <w:r>
        <w:rPr>
          <w:sz w:val="20"/>
        </w:rPr>
        <w:t xml:space="preserve">    в  соответствии  со </w:t>
      </w:r>
      <w:hyperlink w:history="0" r:id="rId281" w:tooltip="Федеральный закон от 27.07.2006 N 152-ФЗ (ред. от 06.02.2023) &quot;О персональных данных&quot; {КонсультантПлюс}">
        <w:r>
          <w:rPr>
            <w:sz w:val="20"/>
            <w:color w:val="0000ff"/>
          </w:rPr>
          <w:t xml:space="preserve">ст. 9</w:t>
        </w:r>
      </w:hyperlink>
      <w:r>
        <w:rPr>
          <w:sz w:val="20"/>
        </w:rPr>
        <w:t xml:space="preserve"> Федерального закона от 27.07.2006 N 152-ФЗ "О</w:t>
      </w:r>
    </w:p>
    <w:p>
      <w:pPr>
        <w:pStyle w:val="1"/>
        <w:jc w:val="both"/>
      </w:pPr>
      <w:r>
        <w:rPr>
          <w:sz w:val="20"/>
        </w:rPr>
        <w:t xml:space="preserve">персональных  данных",  даю согласие Департаменту инвестиционной политики и</w:t>
      </w:r>
    </w:p>
    <w:p>
      <w:pPr>
        <w:pStyle w:val="1"/>
        <w:jc w:val="both"/>
      </w:pPr>
      <w:r>
        <w:rPr>
          <w:sz w:val="20"/>
        </w:rPr>
        <w:t xml:space="preserve">государственной   поддержки   предпринимательства   Тюменской   области  на</w:t>
      </w:r>
    </w:p>
    <w:p>
      <w:pPr>
        <w:pStyle w:val="1"/>
        <w:jc w:val="both"/>
      </w:pPr>
      <w:r>
        <w:rPr>
          <w:sz w:val="20"/>
        </w:rPr>
        <w:t xml:space="preserve">обработку  персональных  данных  с  использованием средств автоматизации, а</w:t>
      </w:r>
    </w:p>
    <w:p>
      <w:pPr>
        <w:pStyle w:val="1"/>
        <w:jc w:val="both"/>
      </w:pPr>
      <w:r>
        <w:rPr>
          <w:sz w:val="20"/>
        </w:rPr>
        <w:t xml:space="preserve">именно:</w:t>
      </w:r>
    </w:p>
    <w:p>
      <w:pPr>
        <w:pStyle w:val="1"/>
        <w:jc w:val="both"/>
      </w:pPr>
      <w:r>
        <w:rPr>
          <w:sz w:val="20"/>
        </w:rPr>
        <w:t xml:space="preserve">    фамилия,   имя,   отчество;   документ,  удостоверяющий  личность  (вид</w:t>
      </w:r>
    </w:p>
    <w:p>
      <w:pPr>
        <w:pStyle w:val="1"/>
        <w:jc w:val="both"/>
      </w:pPr>
      <w:r>
        <w:rPr>
          <w:sz w:val="20"/>
        </w:rPr>
        <w:t xml:space="preserve">документа;  серия;  номер; кем и когда выдан; гражданство; место рождения);</w:t>
      </w:r>
    </w:p>
    <w:p>
      <w:pPr>
        <w:pStyle w:val="1"/>
        <w:jc w:val="both"/>
      </w:pPr>
      <w:r>
        <w:rPr>
          <w:sz w:val="20"/>
        </w:rPr>
        <w:t xml:space="preserve">идентификационный номер налогоплательщика; адрес регистрации и фактического</w:t>
      </w:r>
    </w:p>
    <w:p>
      <w:pPr>
        <w:pStyle w:val="1"/>
        <w:jc w:val="both"/>
      </w:pPr>
      <w:r>
        <w:rPr>
          <w:sz w:val="20"/>
        </w:rPr>
        <w:t xml:space="preserve">проживания; адрес электронной почты (e-mail); контактный номер телефона;</w:t>
      </w:r>
    </w:p>
    <w:p>
      <w:pPr>
        <w:pStyle w:val="1"/>
        <w:jc w:val="both"/>
      </w:pPr>
      <w:r>
        <w:rPr>
          <w:sz w:val="20"/>
        </w:rPr>
        <w:t xml:space="preserve">    Обработка  вышеуказанных персональных данных будет осуществляться путем</w:t>
      </w:r>
    </w:p>
    <w:p>
      <w:pPr>
        <w:pStyle w:val="1"/>
        <w:jc w:val="both"/>
      </w:pPr>
      <w:r>
        <w:rPr>
          <w:sz w:val="20"/>
        </w:rPr>
        <w:t xml:space="preserve">сбора,   систематизации,   накопления,   хранения,   уточнения  (изменения,</w:t>
      </w:r>
    </w:p>
    <w:p>
      <w:pPr>
        <w:pStyle w:val="1"/>
        <w:jc w:val="both"/>
      </w:pPr>
      <w:r>
        <w:rPr>
          <w:sz w:val="20"/>
        </w:rPr>
        <w:t xml:space="preserve">обновления), использования, уничтожения.</w:t>
      </w:r>
    </w:p>
    <w:p>
      <w:pPr>
        <w:pStyle w:val="1"/>
        <w:jc w:val="both"/>
      </w:pPr>
      <w:r>
        <w:rPr>
          <w:sz w:val="20"/>
        </w:rPr>
        <w:t xml:space="preserve">    Даю  согласие  на  автоматизированную  обработку  персональных данных с</w:t>
      </w:r>
    </w:p>
    <w:p>
      <w:pPr>
        <w:pStyle w:val="1"/>
        <w:jc w:val="both"/>
      </w:pPr>
      <w:r>
        <w:rPr>
          <w:sz w:val="20"/>
        </w:rPr>
        <w:t xml:space="preserve">использованием    машинных   носителей,   обеспечивающих   их   защиту   от</w:t>
      </w:r>
    </w:p>
    <w:p>
      <w:pPr>
        <w:pStyle w:val="1"/>
        <w:jc w:val="both"/>
      </w:pPr>
      <w:r>
        <w:rPr>
          <w:sz w:val="20"/>
        </w:rPr>
        <w:t xml:space="preserve">несанкционированного  доступа, а также на автоматизированную обработку моих</w:t>
      </w:r>
    </w:p>
    <w:p>
      <w:pPr>
        <w:pStyle w:val="1"/>
        <w:jc w:val="both"/>
      </w:pPr>
      <w:r>
        <w:rPr>
          <w:sz w:val="20"/>
        </w:rPr>
        <w:t xml:space="preserve">персональных  данных  посредством  внесения  их  в электронную базу данных,</w:t>
      </w:r>
    </w:p>
    <w:p>
      <w:pPr>
        <w:pStyle w:val="1"/>
        <w:jc w:val="both"/>
      </w:pPr>
      <w:r>
        <w:rPr>
          <w:sz w:val="20"/>
        </w:rPr>
        <w:t xml:space="preserve">включения   в   списки  (реестры)  и  формы,  предусмотренные  документами,</w:t>
      </w:r>
    </w:p>
    <w:p>
      <w:pPr>
        <w:pStyle w:val="1"/>
        <w:jc w:val="both"/>
      </w:pPr>
      <w:r>
        <w:rPr>
          <w:sz w:val="20"/>
        </w:rPr>
        <w:t xml:space="preserve">регламентирующими  предоставление  данных,  а  также обработку персональных</w:t>
      </w:r>
    </w:p>
    <w:p>
      <w:pPr>
        <w:pStyle w:val="1"/>
        <w:jc w:val="both"/>
      </w:pPr>
      <w:r>
        <w:rPr>
          <w:sz w:val="20"/>
        </w:rPr>
        <w:t xml:space="preserve">данных без использования средств автоматизации.</w:t>
      </w:r>
    </w:p>
    <w:p>
      <w:pPr>
        <w:pStyle w:val="1"/>
        <w:jc w:val="both"/>
      </w:pPr>
      <w:r>
        <w:rPr>
          <w:sz w:val="20"/>
        </w:rPr>
        <w:t xml:space="preserve">    Для  обработки  в  целях  предоставления  гранта,  я  в  соответствии с</w:t>
      </w:r>
    </w:p>
    <w:p>
      <w:pPr>
        <w:pStyle w:val="1"/>
        <w:jc w:val="both"/>
      </w:pPr>
      <w:hyperlink w:history="0" r:id="rId282"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пунктом    6</w:t>
        </w:r>
      </w:hyperlink>
      <w:r>
        <w:rPr>
          <w:sz w:val="20"/>
        </w:rPr>
        <w:t xml:space="preserve">   Постановления   Правительства   Российской   Федерации N 687</w:t>
      </w:r>
    </w:p>
    <w:p>
      <w:pPr>
        <w:pStyle w:val="1"/>
        <w:jc w:val="both"/>
      </w:pPr>
      <w:r>
        <w:rPr>
          <w:sz w:val="20"/>
        </w:rPr>
        <w:t xml:space="preserve">от  15.09.2008  утверждаю,  что проинформирован (-а) о факте обработки моих</w:t>
      </w:r>
    </w:p>
    <w:p>
      <w:pPr>
        <w:pStyle w:val="1"/>
        <w:jc w:val="both"/>
      </w:pPr>
      <w:r>
        <w:rPr>
          <w:sz w:val="20"/>
        </w:rPr>
        <w:t xml:space="preserve">персональных  данных,  обработка  которых  осуществляется без использования</w:t>
      </w:r>
    </w:p>
    <w:p>
      <w:pPr>
        <w:pStyle w:val="1"/>
        <w:jc w:val="both"/>
      </w:pPr>
      <w:r>
        <w:rPr>
          <w:sz w:val="20"/>
        </w:rPr>
        <w:t xml:space="preserve">средств  автоматизации,  согласно вышеприведенным категориям обрабатываемых</w:t>
      </w:r>
    </w:p>
    <w:p>
      <w:pPr>
        <w:pStyle w:val="1"/>
        <w:jc w:val="both"/>
      </w:pPr>
      <w:r>
        <w:rPr>
          <w:sz w:val="20"/>
        </w:rPr>
        <w:t xml:space="preserve">персональных данных, а также об особенностях и правилах осуществления такой</w:t>
      </w:r>
    </w:p>
    <w:p>
      <w:pPr>
        <w:pStyle w:val="1"/>
        <w:jc w:val="both"/>
      </w:pPr>
      <w:r>
        <w:rPr>
          <w:sz w:val="20"/>
        </w:rPr>
        <w:t xml:space="preserve">обработки,  установленных нормативными правовыми актами федеральных органов</w:t>
      </w:r>
    </w:p>
    <w:p>
      <w:pPr>
        <w:pStyle w:val="1"/>
        <w:jc w:val="both"/>
      </w:pPr>
      <w:r>
        <w:rPr>
          <w:sz w:val="20"/>
        </w:rPr>
        <w:t xml:space="preserve">исполнительной  власти,  органов исполнительной власти субъектов Российской</w:t>
      </w:r>
    </w:p>
    <w:p>
      <w:pPr>
        <w:pStyle w:val="1"/>
        <w:jc w:val="both"/>
      </w:pPr>
      <w:r>
        <w:rPr>
          <w:sz w:val="20"/>
        </w:rPr>
        <w:t xml:space="preserve">Федерации.</w:t>
      </w:r>
    </w:p>
    <w:p>
      <w:pPr>
        <w:pStyle w:val="1"/>
        <w:jc w:val="both"/>
      </w:pPr>
      <w:r>
        <w:rPr>
          <w:sz w:val="20"/>
        </w:rPr>
        <w:t xml:space="preserve">    Я   утверждаю,   что   ознакомлен   (-а)   с  документами  организации,</w:t>
      </w:r>
    </w:p>
    <w:p>
      <w:pPr>
        <w:pStyle w:val="1"/>
        <w:jc w:val="both"/>
      </w:pPr>
      <w:r>
        <w:rPr>
          <w:sz w:val="20"/>
        </w:rPr>
        <w:t xml:space="preserve">устанавливающими  порядок  обработки  персональных  данных, а также с моими</w:t>
      </w:r>
    </w:p>
    <w:p>
      <w:pPr>
        <w:pStyle w:val="1"/>
        <w:jc w:val="both"/>
      </w:pPr>
      <w:r>
        <w:rPr>
          <w:sz w:val="20"/>
        </w:rPr>
        <w:t xml:space="preserve">правами и обязанностями в этой области.</w:t>
      </w:r>
    </w:p>
    <w:p>
      <w:pPr>
        <w:pStyle w:val="1"/>
        <w:jc w:val="both"/>
      </w:pPr>
      <w:r>
        <w:rPr>
          <w:sz w:val="20"/>
        </w:rPr>
        <w:t xml:space="preserve">    Даю свое согласие на получение входящих телефонных вызовов на указанный</w:t>
      </w:r>
    </w:p>
    <w:p>
      <w:pPr>
        <w:pStyle w:val="1"/>
        <w:jc w:val="both"/>
      </w:pPr>
      <w:r>
        <w:rPr>
          <w:sz w:val="20"/>
        </w:rPr>
        <w:t xml:space="preserve">мною номер телефона:</w:t>
      </w:r>
    </w:p>
    <w:p>
      <w:pPr>
        <w:pStyle w:val="1"/>
        <w:jc w:val="both"/>
      </w:pPr>
      <w:r>
        <w:rPr>
          <w:sz w:val="20"/>
        </w:rPr>
        <w:t xml:space="preserve">                           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Согласие  вступает  в  силу  со  дня  его  подписания  и  действует  до</w:t>
      </w:r>
    </w:p>
    <w:p>
      <w:pPr>
        <w:pStyle w:val="1"/>
        <w:jc w:val="both"/>
      </w:pPr>
      <w:r>
        <w:rPr>
          <w:sz w:val="20"/>
        </w:rPr>
        <w:t xml:space="preserve">достижения целей обработки.</w:t>
      </w:r>
    </w:p>
    <w:p>
      <w:pPr>
        <w:pStyle w:val="1"/>
        <w:jc w:val="both"/>
      </w:pPr>
      <w:r>
        <w:rPr>
          <w:sz w:val="20"/>
        </w:rPr>
      </w:r>
    </w:p>
    <w:p>
      <w:pPr>
        <w:pStyle w:val="1"/>
        <w:jc w:val="both"/>
      </w:pPr>
      <w:r>
        <w:rPr>
          <w:sz w:val="20"/>
        </w:rPr>
        <w:t xml:space="preserve">    Согласие  может  быть  отозвано  мною  в любое время на основании моего</w:t>
      </w:r>
    </w:p>
    <w:p>
      <w:pPr>
        <w:pStyle w:val="1"/>
        <w:jc w:val="both"/>
      </w:pPr>
      <w:r>
        <w:rPr>
          <w:sz w:val="20"/>
        </w:rPr>
        <w:t xml:space="preserve">письменного заявления.</w:t>
      </w:r>
    </w:p>
    <w:p>
      <w:pPr>
        <w:pStyle w:val="1"/>
        <w:jc w:val="both"/>
      </w:pPr>
      <w:r>
        <w:rPr>
          <w:sz w:val="20"/>
        </w:rPr>
      </w:r>
    </w:p>
    <w:p>
      <w:pPr>
        <w:pStyle w:val="1"/>
        <w:jc w:val="both"/>
      </w:pPr>
      <w:r>
        <w:rPr>
          <w:sz w:val="20"/>
        </w:rPr>
        <w:t xml:space="preserve">____________________________                            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 малого</w:t>
      </w:r>
    </w:p>
    <w:p>
      <w:pPr>
        <w:pStyle w:val="0"/>
        <w:jc w:val="right"/>
      </w:pPr>
      <w:r>
        <w:rPr>
          <w:sz w:val="20"/>
        </w:rPr>
        <w:t xml:space="preserve">и среднего предпринимательства, созданным физическими</w:t>
      </w:r>
    </w:p>
    <w:p>
      <w:pPr>
        <w:pStyle w:val="0"/>
        <w:jc w:val="right"/>
      </w:pPr>
      <w:r>
        <w:rPr>
          <w:sz w:val="20"/>
        </w:rPr>
        <w:t xml:space="preserve">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20.06.2022 </w:t>
            </w:r>
            <w:hyperlink w:history="0" r:id="rId283"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N 390-п</w:t>
              </w:r>
            </w:hyperlink>
            <w:r>
              <w:rPr>
                <w:sz w:val="20"/>
                <w:color w:val="392c69"/>
              </w:rPr>
              <w:t xml:space="preserve">,</w:t>
            </w:r>
          </w:p>
          <w:p>
            <w:pPr>
              <w:pStyle w:val="0"/>
              <w:jc w:val="center"/>
            </w:pPr>
            <w:r>
              <w:rPr>
                <w:sz w:val="20"/>
                <w:color w:val="392c69"/>
              </w:rPr>
              <w:t xml:space="preserve">от 20.12.2022 </w:t>
            </w:r>
            <w:hyperlink w:history="0" r:id="rId284"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ПРОТОКОЛ</w:t>
      </w:r>
    </w:p>
    <w:p>
      <w:pPr>
        <w:pStyle w:val="0"/>
        <w:jc w:val="center"/>
      </w:pPr>
      <w:r>
        <w:rPr>
          <w:sz w:val="20"/>
        </w:rPr>
        <w:t xml:space="preserve">очного / заочного заседания конкурсной комиссии по отбору</w:t>
      </w:r>
    </w:p>
    <w:p>
      <w:pPr>
        <w:pStyle w:val="0"/>
        <w:jc w:val="center"/>
      </w:pPr>
      <w:r>
        <w:rPr>
          <w:sz w:val="20"/>
        </w:rPr>
        <w:t xml:space="preserve">субъектов малого и среднего предпринимательства</w:t>
      </w:r>
    </w:p>
    <w:p>
      <w:pPr>
        <w:pStyle w:val="0"/>
        <w:jc w:val="center"/>
      </w:pPr>
      <w:r>
        <w:rPr>
          <w:sz w:val="20"/>
        </w:rPr>
        <w:t xml:space="preserve">для получения гранта</w:t>
      </w:r>
    </w:p>
    <w:p>
      <w:pPr>
        <w:pStyle w:val="0"/>
        <w:jc w:val="both"/>
      </w:pPr>
      <w:r>
        <w:rPr>
          <w:sz w:val="20"/>
        </w:rPr>
      </w:r>
    </w:p>
    <w:p>
      <w:pPr>
        <w:pStyle w:val="0"/>
        <w:ind w:firstLine="540"/>
        <w:jc w:val="both"/>
      </w:pPr>
      <w:r>
        <w:rPr>
          <w:sz w:val="20"/>
        </w:rPr>
        <w:t xml:space="preserve">В преамбуле протокола указывается:</w:t>
      </w:r>
    </w:p>
    <w:p>
      <w:pPr>
        <w:pStyle w:val="0"/>
        <w:spacing w:before="200" w:line-rule="auto"/>
        <w:ind w:firstLine="540"/>
        <w:jc w:val="both"/>
      </w:pPr>
      <w:r>
        <w:rPr>
          <w:sz w:val="20"/>
        </w:rPr>
        <w:t xml:space="preserve">- информация об утверждении состава конкурсной комиссии по отбору субъектов малого и среднего предпринимательства, осуществляющим деятельность в сфере социального предпринимательства, или молодых предпринимателей на реализацию проекта в сфере предпринимательской деятельности, для получения гранта (далее - Комиссия);</w:t>
      </w:r>
    </w:p>
    <w:p>
      <w:pPr>
        <w:pStyle w:val="0"/>
        <w:spacing w:before="200" w:line-rule="auto"/>
        <w:ind w:firstLine="540"/>
        <w:jc w:val="both"/>
      </w:pPr>
      <w:r>
        <w:rPr>
          <w:sz w:val="20"/>
        </w:rPr>
        <w:t xml:space="preserve">- механизм и форма проведения заседания Комиссии;</w:t>
      </w:r>
    </w:p>
    <w:p>
      <w:pPr>
        <w:pStyle w:val="0"/>
        <w:spacing w:before="200" w:line-rule="auto"/>
        <w:ind w:firstLine="540"/>
        <w:jc w:val="both"/>
      </w:pPr>
      <w:r>
        <w:rPr>
          <w:sz w:val="20"/>
        </w:rPr>
        <w:t xml:space="preserve">- перечень документов, направленных на рассмотрение Комиссии.</w:t>
      </w:r>
    </w:p>
    <w:p>
      <w:pPr>
        <w:pStyle w:val="0"/>
        <w:jc w:val="both"/>
      </w:pPr>
      <w:r>
        <w:rPr>
          <w:sz w:val="20"/>
        </w:rPr>
      </w:r>
    </w:p>
    <w:p>
      <w:pPr>
        <w:pStyle w:val="0"/>
        <w:ind w:firstLine="540"/>
        <w:jc w:val="both"/>
      </w:pPr>
      <w:r>
        <w:rPr>
          <w:sz w:val="20"/>
        </w:rPr>
        <w:t xml:space="preserve">Персональный состав конкурсной комиссии по отбору субъектов малого и среднего предпринимательства, осуществляющим деятельность в сфере социального предпринимательства, или молодых предпринимателей на реализацию проекта в сфере предпринимательской деятельности, для получения гранта (далее - Комиссия):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386"/>
        <w:gridCol w:w="2948"/>
      </w:tblGrid>
      <w:tr>
        <w:tc>
          <w:tcPr>
            <w:tcW w:w="737" w:type="dxa"/>
          </w:tcPr>
          <w:p>
            <w:pPr>
              <w:pStyle w:val="0"/>
              <w:jc w:val="center"/>
            </w:pPr>
            <w:r>
              <w:rPr>
                <w:sz w:val="20"/>
              </w:rPr>
              <w:t xml:space="preserve">N</w:t>
            </w:r>
          </w:p>
        </w:tc>
        <w:tc>
          <w:tcPr>
            <w:tcW w:w="5386" w:type="dxa"/>
          </w:tcPr>
          <w:p>
            <w:pPr>
              <w:pStyle w:val="0"/>
              <w:jc w:val="center"/>
            </w:pPr>
            <w:r>
              <w:rPr>
                <w:sz w:val="20"/>
              </w:rPr>
              <w:t xml:space="preserve">ФИО члена Комиссии</w:t>
            </w:r>
          </w:p>
        </w:tc>
        <w:tc>
          <w:tcPr>
            <w:tcW w:w="2948" w:type="dxa"/>
          </w:tcPr>
          <w:p>
            <w:pPr>
              <w:pStyle w:val="0"/>
              <w:jc w:val="center"/>
            </w:pPr>
            <w:r>
              <w:rPr>
                <w:sz w:val="20"/>
              </w:rPr>
              <w:t xml:space="preserve">Должность</w:t>
            </w:r>
          </w:p>
        </w:tc>
      </w:tr>
      <w:tr>
        <w:tc>
          <w:tcPr>
            <w:tcW w:w="737" w:type="dxa"/>
          </w:tcPr>
          <w:p>
            <w:pPr>
              <w:pStyle w:val="0"/>
              <w:jc w:val="center"/>
            </w:pPr>
            <w:r>
              <w:rPr>
                <w:sz w:val="20"/>
              </w:rPr>
              <w:t xml:space="preserve">1</w:t>
            </w:r>
          </w:p>
        </w:tc>
        <w:tc>
          <w:tcPr>
            <w:tcW w:w="5386" w:type="dxa"/>
          </w:tcPr>
          <w:p>
            <w:pPr>
              <w:pStyle w:val="0"/>
            </w:pPr>
            <w:r>
              <w:rPr>
                <w:sz w:val="20"/>
              </w:rPr>
            </w:r>
          </w:p>
        </w:tc>
        <w:tc>
          <w:tcPr>
            <w:tcW w:w="2948" w:type="dxa"/>
          </w:tcPr>
          <w:p>
            <w:pPr>
              <w:pStyle w:val="0"/>
            </w:pPr>
            <w:r>
              <w:rPr>
                <w:sz w:val="20"/>
              </w:rPr>
            </w:r>
          </w:p>
        </w:tc>
      </w:tr>
      <w:tr>
        <w:tc>
          <w:tcPr>
            <w:tcW w:w="737" w:type="dxa"/>
          </w:tcPr>
          <w:p>
            <w:pPr>
              <w:pStyle w:val="0"/>
              <w:jc w:val="center"/>
            </w:pPr>
            <w:r>
              <w:rPr>
                <w:sz w:val="20"/>
              </w:rPr>
              <w:t xml:space="preserve">2</w:t>
            </w:r>
          </w:p>
        </w:tc>
        <w:tc>
          <w:tcPr>
            <w:tcW w:w="5386" w:type="dxa"/>
          </w:tcPr>
          <w:p>
            <w:pPr>
              <w:pStyle w:val="0"/>
            </w:pPr>
            <w:r>
              <w:rPr>
                <w:sz w:val="20"/>
              </w:rPr>
            </w:r>
          </w:p>
        </w:tc>
        <w:tc>
          <w:tcPr>
            <w:tcW w:w="2948" w:type="dxa"/>
          </w:tcPr>
          <w:p>
            <w:pPr>
              <w:pStyle w:val="0"/>
            </w:pPr>
            <w:r>
              <w:rPr>
                <w:sz w:val="20"/>
              </w:rPr>
            </w:r>
          </w:p>
        </w:tc>
      </w:tr>
      <w:tr>
        <w:tc>
          <w:tcPr>
            <w:tcW w:w="737" w:type="dxa"/>
          </w:tcPr>
          <w:p>
            <w:pPr>
              <w:pStyle w:val="0"/>
              <w:jc w:val="center"/>
            </w:pPr>
            <w:r>
              <w:rPr>
                <w:sz w:val="20"/>
              </w:rPr>
              <w:t xml:space="preserve">и т.д.</w:t>
            </w:r>
          </w:p>
        </w:tc>
        <w:tc>
          <w:tcPr>
            <w:tcW w:w="5386" w:type="dxa"/>
          </w:tcPr>
          <w:p>
            <w:pPr>
              <w:pStyle w:val="0"/>
            </w:pPr>
            <w:r>
              <w:rPr>
                <w:sz w:val="20"/>
              </w:rPr>
            </w:r>
          </w:p>
        </w:tc>
        <w:tc>
          <w:tcPr>
            <w:tcW w:w="2948" w:type="dxa"/>
          </w:tcPr>
          <w:p>
            <w:pPr>
              <w:pStyle w:val="0"/>
            </w:pPr>
            <w:r>
              <w:rPr>
                <w:sz w:val="20"/>
              </w:rPr>
            </w:r>
          </w:p>
        </w:tc>
      </w:tr>
      <w:tr>
        <w:tc>
          <w:tcPr>
            <w:gridSpan w:val="3"/>
            <w:tcW w:w="9071" w:type="dxa"/>
          </w:tcPr>
          <w:p>
            <w:pPr>
              <w:pStyle w:val="0"/>
              <w:jc w:val="center"/>
            </w:pPr>
            <w:r>
              <w:rPr>
                <w:sz w:val="20"/>
              </w:rPr>
              <w:t xml:space="preserve">Приняло участие в очном / заочном голосовании ___ человек.</w:t>
            </w:r>
          </w:p>
          <w:p>
            <w:pPr>
              <w:pStyle w:val="0"/>
              <w:jc w:val="center"/>
            </w:pPr>
            <w:r>
              <w:rPr>
                <w:sz w:val="20"/>
              </w:rPr>
              <w:t xml:space="preserve">Заседание Комиссии правомочно / неправомочно.</w:t>
            </w:r>
          </w:p>
        </w:tc>
      </w:tr>
    </w:tbl>
    <w:p>
      <w:pPr>
        <w:pStyle w:val="0"/>
        <w:jc w:val="both"/>
      </w:pPr>
      <w:r>
        <w:rPr>
          <w:sz w:val="20"/>
        </w:rPr>
      </w:r>
    </w:p>
    <w:p>
      <w:pPr>
        <w:pStyle w:val="0"/>
        <w:jc w:val="center"/>
      </w:pPr>
      <w:r>
        <w:rPr>
          <w:sz w:val="20"/>
        </w:rPr>
        <w:t xml:space="preserve">Повестка заседания Комиссии</w:t>
      </w:r>
    </w:p>
    <w:p>
      <w:pPr>
        <w:pStyle w:val="0"/>
        <w:jc w:val="both"/>
      </w:pPr>
      <w:r>
        <w:rPr>
          <w:sz w:val="20"/>
        </w:rPr>
      </w:r>
    </w:p>
    <w:p>
      <w:pPr>
        <w:pStyle w:val="0"/>
        <w:ind w:firstLine="540"/>
        <w:jc w:val="both"/>
      </w:pPr>
      <w:r>
        <w:rPr>
          <w:sz w:val="20"/>
        </w:rPr>
        <w:t xml:space="preserve">1. Рассмотрение вопроса о предоставлении грантов в форме субсидий (далее - грант) субъектам малого и среднего предпринимательства, осуществляющим деятельность в сфере социального предпринимательства, или молодых предпринимателей на реализацию проекта в сфере предпринимательской деятельности;</w:t>
      </w:r>
    </w:p>
    <w:p>
      <w:pPr>
        <w:pStyle w:val="0"/>
        <w:spacing w:before="200" w:line-rule="auto"/>
        <w:ind w:firstLine="540"/>
        <w:jc w:val="both"/>
      </w:pPr>
      <w:r>
        <w:rPr>
          <w:sz w:val="20"/>
        </w:rPr>
        <w:t xml:space="preserve">2. Иные вопросы, входящие в компетенцию Комиссии (при необходимости).</w:t>
      </w:r>
    </w:p>
    <w:p>
      <w:pPr>
        <w:pStyle w:val="0"/>
        <w:jc w:val="both"/>
      </w:pPr>
      <w:r>
        <w:rPr>
          <w:sz w:val="20"/>
        </w:rPr>
      </w:r>
    </w:p>
    <w:p>
      <w:pPr>
        <w:pStyle w:val="0"/>
        <w:ind w:firstLine="540"/>
        <w:jc w:val="both"/>
      </w:pPr>
      <w:r>
        <w:rPr>
          <w:sz w:val="20"/>
        </w:rPr>
        <w:t xml:space="preserve">По первому вопросу:</w:t>
      </w:r>
    </w:p>
    <w:p>
      <w:pPr>
        <w:pStyle w:val="0"/>
        <w:jc w:val="both"/>
      </w:pPr>
      <w:r>
        <w:rPr>
          <w:sz w:val="20"/>
        </w:rPr>
      </w:r>
    </w:p>
    <w:p>
      <w:pPr>
        <w:pStyle w:val="0"/>
        <w:ind w:firstLine="540"/>
        <w:jc w:val="both"/>
      </w:pPr>
      <w:r>
        <w:rPr>
          <w:sz w:val="20"/>
        </w:rPr>
        <w:t xml:space="preserve">Информация о субъектах малого и среднего предпринимательства, осуществляющих деятельность в сфере социального предпринимательства, или молодых предпринимателей на реализацию проекта в сфере предпринимательской деятельности, и подавших заявочные документы на грант: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2389"/>
        <w:gridCol w:w="619"/>
        <w:gridCol w:w="1204"/>
        <w:gridCol w:w="1789"/>
        <w:gridCol w:w="1429"/>
        <w:gridCol w:w="340"/>
        <w:gridCol w:w="340"/>
        <w:gridCol w:w="340"/>
        <w:gridCol w:w="340"/>
        <w:gridCol w:w="340"/>
        <w:gridCol w:w="340"/>
        <w:gridCol w:w="340"/>
        <w:gridCol w:w="724"/>
        <w:gridCol w:w="1701"/>
      </w:tblGrid>
      <w:tr>
        <w:tc>
          <w:tcPr>
            <w:tcW w:w="340" w:type="dxa"/>
            <w:vMerge w:val="restart"/>
          </w:tcPr>
          <w:p>
            <w:pPr>
              <w:pStyle w:val="0"/>
              <w:jc w:val="center"/>
            </w:pPr>
            <w:r>
              <w:rPr>
                <w:sz w:val="20"/>
              </w:rPr>
              <w:t xml:space="preserve">N</w:t>
            </w:r>
          </w:p>
        </w:tc>
        <w:tc>
          <w:tcPr>
            <w:tcW w:w="2389" w:type="dxa"/>
            <w:vMerge w:val="restart"/>
          </w:tcPr>
          <w:p>
            <w:pPr>
              <w:pStyle w:val="0"/>
              <w:jc w:val="center"/>
            </w:pPr>
            <w:r>
              <w:rPr>
                <w:sz w:val="20"/>
              </w:rPr>
              <w:t xml:space="preserve">Наименование субъекта малого и среднего предпринимательства</w:t>
            </w:r>
          </w:p>
        </w:tc>
        <w:tc>
          <w:tcPr>
            <w:tcW w:w="619" w:type="dxa"/>
            <w:vMerge w:val="restart"/>
          </w:tcPr>
          <w:p>
            <w:pPr>
              <w:pStyle w:val="0"/>
              <w:jc w:val="center"/>
            </w:pPr>
            <w:r>
              <w:rPr>
                <w:sz w:val="20"/>
              </w:rPr>
              <w:t xml:space="preserve">ИНН</w:t>
            </w:r>
          </w:p>
        </w:tc>
        <w:tc>
          <w:tcPr>
            <w:tcW w:w="1204" w:type="dxa"/>
            <w:vMerge w:val="restart"/>
          </w:tcPr>
          <w:p>
            <w:pPr>
              <w:pStyle w:val="0"/>
              <w:jc w:val="center"/>
            </w:pPr>
            <w:r>
              <w:rPr>
                <w:sz w:val="20"/>
              </w:rPr>
              <w:t xml:space="preserve">Цель получения гранта</w:t>
            </w:r>
          </w:p>
        </w:tc>
        <w:tc>
          <w:tcPr>
            <w:tcW w:w="1789" w:type="dxa"/>
            <w:vMerge w:val="restart"/>
          </w:tcPr>
          <w:p>
            <w:pPr>
              <w:pStyle w:val="0"/>
              <w:jc w:val="center"/>
            </w:pPr>
            <w:r>
              <w:rPr>
                <w:sz w:val="20"/>
              </w:rPr>
              <w:t xml:space="preserve">Сумма запрашиваемого гранта, руб.</w:t>
            </w:r>
          </w:p>
        </w:tc>
        <w:tc>
          <w:tcPr>
            <w:tcW w:w="1429" w:type="dxa"/>
            <w:vMerge w:val="restart"/>
          </w:tcPr>
          <w:p>
            <w:pPr>
              <w:pStyle w:val="0"/>
              <w:jc w:val="center"/>
            </w:pPr>
            <w:r>
              <w:rPr>
                <w:sz w:val="20"/>
              </w:rPr>
              <w:t xml:space="preserve">Дата поступления заявления и документов</w:t>
            </w:r>
          </w:p>
        </w:tc>
        <w:tc>
          <w:tcPr>
            <w:gridSpan w:val="8"/>
            <w:tcW w:w="3104" w:type="dxa"/>
          </w:tcPr>
          <w:p>
            <w:pPr>
              <w:pStyle w:val="0"/>
              <w:jc w:val="center"/>
            </w:pPr>
            <w:r>
              <w:rPr>
                <w:sz w:val="20"/>
              </w:rPr>
              <w:t xml:space="preserve">Значение среднего балла оценки проекта участника отбора</w:t>
            </w:r>
          </w:p>
        </w:tc>
        <w:tc>
          <w:tcPr>
            <w:tcW w:w="1701" w:type="dxa"/>
            <w:vMerge w:val="restart"/>
          </w:tcPr>
          <w:p>
            <w:pPr>
              <w:pStyle w:val="0"/>
              <w:jc w:val="center"/>
            </w:pPr>
            <w:r>
              <w:rPr>
                <w:sz w:val="20"/>
              </w:rPr>
              <w:t xml:space="preserve">Информация об одобрении проекта (одобрен/не одобрен) </w:t>
            </w:r>
            <w:hyperlink w:history="0" w:anchor="P1693" w:tooltip="&lt;1&gt; Оценки по каждому критерию суммируются отдельно и делятся на количество членов Комиссии, принявших участие в голосовании, формируя среднее значение оценки по каждому критерию. Средние значения оценок по всем критериям суммируются и определяют значение среднего балла оценки проекта.">
              <w:r>
                <w:rPr>
                  <w:sz w:val="20"/>
                  <w:color w:val="0000ff"/>
                </w:rPr>
                <w:t xml:space="preserve">&lt;1&gt;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724" w:type="dxa"/>
          </w:tcPr>
          <w:p>
            <w:pPr>
              <w:pStyle w:val="0"/>
              <w:jc w:val="center"/>
            </w:pPr>
            <w:r>
              <w:rPr>
                <w:sz w:val="20"/>
              </w:rPr>
              <w:t xml:space="preserve">Итого</w:t>
            </w:r>
          </w:p>
        </w:tc>
        <w:tc>
          <w:tcPr>
            <w:vMerge w:val="continue"/>
          </w:tcPr>
          <w:p/>
        </w:tc>
      </w:tr>
      <w:tr>
        <w:tc>
          <w:tcPr>
            <w:tcW w:w="340" w:type="dxa"/>
          </w:tcPr>
          <w:p>
            <w:pPr>
              <w:pStyle w:val="0"/>
              <w:jc w:val="center"/>
            </w:pPr>
            <w:r>
              <w:rPr>
                <w:sz w:val="20"/>
              </w:rPr>
              <w:t xml:space="preserve">1.</w:t>
            </w:r>
          </w:p>
        </w:tc>
        <w:tc>
          <w:tcPr>
            <w:tcW w:w="2389" w:type="dxa"/>
          </w:tcPr>
          <w:p>
            <w:pPr>
              <w:pStyle w:val="0"/>
            </w:pPr>
            <w:r>
              <w:rPr>
                <w:sz w:val="20"/>
              </w:rPr>
            </w:r>
          </w:p>
        </w:tc>
        <w:tc>
          <w:tcPr>
            <w:tcW w:w="619" w:type="dxa"/>
          </w:tcPr>
          <w:p>
            <w:pPr>
              <w:pStyle w:val="0"/>
            </w:pPr>
            <w:r>
              <w:rPr>
                <w:sz w:val="20"/>
              </w:rPr>
            </w:r>
          </w:p>
        </w:tc>
        <w:tc>
          <w:tcPr>
            <w:tcW w:w="1204" w:type="dxa"/>
          </w:tcPr>
          <w:p>
            <w:pPr>
              <w:pStyle w:val="0"/>
            </w:pPr>
            <w:r>
              <w:rPr>
                <w:sz w:val="20"/>
              </w:rPr>
            </w:r>
          </w:p>
        </w:tc>
        <w:tc>
          <w:tcPr>
            <w:tcW w:w="1789" w:type="dxa"/>
          </w:tcPr>
          <w:p>
            <w:pPr>
              <w:pStyle w:val="0"/>
            </w:pPr>
            <w:r>
              <w:rPr>
                <w:sz w:val="20"/>
              </w:rPr>
            </w:r>
          </w:p>
        </w:tc>
        <w:tc>
          <w:tcPr>
            <w:tcW w:w="142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724" w:type="dxa"/>
          </w:tcPr>
          <w:p>
            <w:pPr>
              <w:pStyle w:val="0"/>
            </w:pPr>
            <w:r>
              <w:rPr>
                <w:sz w:val="20"/>
              </w:rPr>
            </w:r>
          </w:p>
        </w:tc>
        <w:tc>
          <w:tcPr>
            <w:tcW w:w="1701" w:type="dxa"/>
          </w:tcPr>
          <w:p>
            <w:pPr>
              <w:pStyle w:val="0"/>
            </w:pPr>
            <w:r>
              <w:rPr>
                <w:sz w:val="20"/>
              </w:rPr>
            </w:r>
          </w:p>
        </w:tc>
      </w:tr>
      <w:tr>
        <w:tc>
          <w:tcPr>
            <w:tcW w:w="340" w:type="dxa"/>
          </w:tcPr>
          <w:p>
            <w:pPr>
              <w:pStyle w:val="0"/>
              <w:jc w:val="center"/>
            </w:pPr>
            <w:r>
              <w:rPr>
                <w:sz w:val="20"/>
              </w:rPr>
              <w:t xml:space="preserve">2.</w:t>
            </w:r>
          </w:p>
        </w:tc>
        <w:tc>
          <w:tcPr>
            <w:tcW w:w="2389" w:type="dxa"/>
          </w:tcPr>
          <w:p>
            <w:pPr>
              <w:pStyle w:val="0"/>
            </w:pPr>
            <w:r>
              <w:rPr>
                <w:sz w:val="20"/>
              </w:rPr>
            </w:r>
          </w:p>
        </w:tc>
        <w:tc>
          <w:tcPr>
            <w:tcW w:w="619" w:type="dxa"/>
          </w:tcPr>
          <w:p>
            <w:pPr>
              <w:pStyle w:val="0"/>
            </w:pPr>
            <w:r>
              <w:rPr>
                <w:sz w:val="20"/>
              </w:rPr>
            </w:r>
          </w:p>
        </w:tc>
        <w:tc>
          <w:tcPr>
            <w:tcW w:w="1204" w:type="dxa"/>
          </w:tcPr>
          <w:p>
            <w:pPr>
              <w:pStyle w:val="0"/>
            </w:pPr>
            <w:r>
              <w:rPr>
                <w:sz w:val="20"/>
              </w:rPr>
            </w:r>
          </w:p>
        </w:tc>
        <w:tc>
          <w:tcPr>
            <w:tcW w:w="1789" w:type="dxa"/>
          </w:tcPr>
          <w:p>
            <w:pPr>
              <w:pStyle w:val="0"/>
            </w:pPr>
            <w:r>
              <w:rPr>
                <w:sz w:val="20"/>
              </w:rPr>
            </w:r>
          </w:p>
        </w:tc>
        <w:tc>
          <w:tcPr>
            <w:tcW w:w="142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724" w:type="dxa"/>
          </w:tcPr>
          <w:p>
            <w:pPr>
              <w:pStyle w:val="0"/>
            </w:pPr>
            <w:r>
              <w:rPr>
                <w:sz w:val="20"/>
              </w:rPr>
            </w:r>
          </w:p>
        </w:tc>
        <w:tc>
          <w:tcPr>
            <w:tcW w:w="1701" w:type="dxa"/>
          </w:tcPr>
          <w:p>
            <w:pPr>
              <w:pStyle w:val="0"/>
            </w:pPr>
            <w:r>
              <w:rPr>
                <w:sz w:val="20"/>
              </w:rPr>
            </w:r>
          </w:p>
        </w:tc>
      </w:tr>
      <w:tr>
        <w:tc>
          <w:tcPr>
            <w:tcW w:w="340" w:type="dxa"/>
          </w:tcPr>
          <w:p>
            <w:pPr>
              <w:pStyle w:val="0"/>
              <w:jc w:val="center"/>
            </w:pPr>
            <w:r>
              <w:rPr>
                <w:sz w:val="20"/>
              </w:rPr>
              <w:t xml:space="preserve">3.</w:t>
            </w:r>
          </w:p>
        </w:tc>
        <w:tc>
          <w:tcPr>
            <w:tcW w:w="2389" w:type="dxa"/>
          </w:tcPr>
          <w:p>
            <w:pPr>
              <w:pStyle w:val="0"/>
            </w:pPr>
            <w:r>
              <w:rPr>
                <w:sz w:val="20"/>
              </w:rPr>
            </w:r>
          </w:p>
        </w:tc>
        <w:tc>
          <w:tcPr>
            <w:tcW w:w="619" w:type="dxa"/>
          </w:tcPr>
          <w:p>
            <w:pPr>
              <w:pStyle w:val="0"/>
            </w:pPr>
            <w:r>
              <w:rPr>
                <w:sz w:val="20"/>
              </w:rPr>
            </w:r>
          </w:p>
        </w:tc>
        <w:tc>
          <w:tcPr>
            <w:tcW w:w="1204" w:type="dxa"/>
          </w:tcPr>
          <w:p>
            <w:pPr>
              <w:pStyle w:val="0"/>
            </w:pPr>
            <w:r>
              <w:rPr>
                <w:sz w:val="20"/>
              </w:rPr>
            </w:r>
          </w:p>
        </w:tc>
        <w:tc>
          <w:tcPr>
            <w:tcW w:w="1789" w:type="dxa"/>
          </w:tcPr>
          <w:p>
            <w:pPr>
              <w:pStyle w:val="0"/>
            </w:pPr>
            <w:r>
              <w:rPr>
                <w:sz w:val="20"/>
              </w:rPr>
            </w:r>
          </w:p>
        </w:tc>
        <w:tc>
          <w:tcPr>
            <w:tcW w:w="142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724" w:type="dxa"/>
          </w:tcPr>
          <w:p>
            <w:pPr>
              <w:pStyle w:val="0"/>
            </w:pPr>
            <w:r>
              <w:rPr>
                <w:sz w:val="20"/>
              </w:rPr>
            </w:r>
          </w:p>
        </w:tc>
        <w:tc>
          <w:tcPr>
            <w:tcW w:w="1701" w:type="dxa"/>
          </w:tcPr>
          <w:p>
            <w:pPr>
              <w:pStyle w:val="0"/>
            </w:pPr>
            <w:r>
              <w:rPr>
                <w:sz w:val="20"/>
              </w:rPr>
            </w:r>
          </w:p>
        </w:tc>
      </w:tr>
      <w:tr>
        <w:tc>
          <w:tcPr>
            <w:tcW w:w="340" w:type="dxa"/>
          </w:tcPr>
          <w:p>
            <w:pPr>
              <w:pStyle w:val="0"/>
            </w:pPr>
            <w:r>
              <w:rPr>
                <w:sz w:val="20"/>
              </w:rPr>
            </w:r>
          </w:p>
        </w:tc>
        <w:tc>
          <w:tcPr>
            <w:gridSpan w:val="2"/>
            <w:tcW w:w="3008" w:type="dxa"/>
          </w:tcPr>
          <w:p>
            <w:pPr>
              <w:pStyle w:val="0"/>
              <w:jc w:val="center"/>
            </w:pPr>
            <w:r>
              <w:rPr>
                <w:sz w:val="20"/>
              </w:rPr>
              <w:t xml:space="preserve">Итого</w:t>
            </w:r>
          </w:p>
        </w:tc>
        <w:tc>
          <w:tcPr>
            <w:tcW w:w="1204" w:type="dxa"/>
          </w:tcPr>
          <w:p>
            <w:pPr>
              <w:pStyle w:val="0"/>
            </w:pPr>
            <w:r>
              <w:rPr>
                <w:sz w:val="20"/>
              </w:rPr>
            </w:r>
          </w:p>
        </w:tc>
        <w:tc>
          <w:tcPr>
            <w:gridSpan w:val="11"/>
            <w:tcW w:w="8023" w:type="dxa"/>
          </w:tcPr>
          <w:p>
            <w:pPr>
              <w:pStyle w:val="0"/>
            </w:pPr>
            <w:r>
              <w:rPr>
                <w:sz w:val="20"/>
              </w:rPr>
            </w:r>
          </w:p>
        </w:tc>
      </w:tr>
    </w:tbl>
    <w:p>
      <w:pPr>
        <w:sectPr>
          <w:headerReference w:type="default" r:id="rId285"/>
          <w:headerReference w:type="first" r:id="rId285"/>
          <w:footerReference w:type="default" r:id="rId286"/>
          <w:footerReference w:type="first" r:id="rId28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Решение по первому вопросу:</w:t>
      </w:r>
    </w:p>
    <w:p>
      <w:pPr>
        <w:pStyle w:val="0"/>
        <w:jc w:val="both"/>
      </w:pPr>
      <w:r>
        <w:rPr>
          <w:sz w:val="20"/>
        </w:rPr>
      </w:r>
    </w:p>
    <w:p>
      <w:pPr>
        <w:pStyle w:val="0"/>
        <w:ind w:firstLine="540"/>
        <w:jc w:val="both"/>
      </w:pPr>
      <w:r>
        <w:rPr>
          <w:sz w:val="20"/>
        </w:rPr>
        <w:t xml:space="preserve">1. Учитывая установленный максимальный и минимальный размер гранта, соответствие заявителей требованиям и условиям для получения гранта, дату подачи заявочных документов Комиссия рекомендует предоставить грант следующим социальным предприятиям, или молодых предпринимателям: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061"/>
        <w:gridCol w:w="619"/>
        <w:gridCol w:w="1531"/>
        <w:gridCol w:w="1814"/>
        <w:gridCol w:w="859"/>
        <w:gridCol w:w="844"/>
      </w:tblGrid>
      <w:tr>
        <w:tc>
          <w:tcPr>
            <w:tcW w:w="340" w:type="dxa"/>
          </w:tcPr>
          <w:p>
            <w:pPr>
              <w:pStyle w:val="0"/>
              <w:jc w:val="center"/>
            </w:pPr>
            <w:r>
              <w:rPr>
                <w:sz w:val="20"/>
              </w:rPr>
              <w:t xml:space="preserve">N</w:t>
            </w:r>
          </w:p>
        </w:tc>
        <w:tc>
          <w:tcPr>
            <w:tcW w:w="3061" w:type="dxa"/>
          </w:tcPr>
          <w:p>
            <w:pPr>
              <w:pStyle w:val="0"/>
              <w:jc w:val="center"/>
            </w:pPr>
            <w:r>
              <w:rPr>
                <w:sz w:val="20"/>
              </w:rPr>
              <w:t xml:space="preserve">Наименование субъекта малого и среднего предпринимательства</w:t>
            </w:r>
          </w:p>
        </w:tc>
        <w:tc>
          <w:tcPr>
            <w:tcW w:w="619" w:type="dxa"/>
          </w:tcPr>
          <w:p>
            <w:pPr>
              <w:pStyle w:val="0"/>
              <w:jc w:val="center"/>
            </w:pPr>
            <w:r>
              <w:rPr>
                <w:sz w:val="20"/>
              </w:rPr>
              <w:t xml:space="preserve">ИНН</w:t>
            </w:r>
          </w:p>
        </w:tc>
        <w:tc>
          <w:tcPr>
            <w:tcW w:w="1531" w:type="dxa"/>
          </w:tcPr>
          <w:p>
            <w:pPr>
              <w:pStyle w:val="0"/>
              <w:jc w:val="center"/>
            </w:pPr>
            <w:r>
              <w:rPr>
                <w:sz w:val="20"/>
              </w:rPr>
              <w:t xml:space="preserve">Цель получения гранта</w:t>
            </w:r>
          </w:p>
        </w:tc>
        <w:tc>
          <w:tcPr>
            <w:tcW w:w="1814" w:type="dxa"/>
          </w:tcPr>
          <w:p>
            <w:pPr>
              <w:pStyle w:val="0"/>
              <w:jc w:val="center"/>
            </w:pPr>
            <w:r>
              <w:rPr>
                <w:sz w:val="20"/>
              </w:rPr>
              <w:t xml:space="preserve">Дата поступления заявления и документов</w:t>
            </w:r>
          </w:p>
        </w:tc>
        <w:tc>
          <w:tcPr>
            <w:tcW w:w="859" w:type="dxa"/>
          </w:tcPr>
          <w:p>
            <w:pPr>
              <w:pStyle w:val="0"/>
              <w:jc w:val="center"/>
            </w:pPr>
            <w:r>
              <w:rPr>
                <w:sz w:val="20"/>
              </w:rPr>
              <w:t xml:space="preserve">Общий балл</w:t>
            </w:r>
          </w:p>
        </w:tc>
        <w:tc>
          <w:tcPr>
            <w:tcW w:w="844" w:type="dxa"/>
          </w:tcPr>
          <w:p>
            <w:pPr>
              <w:pStyle w:val="0"/>
              <w:jc w:val="center"/>
            </w:pPr>
            <w:r>
              <w:rPr>
                <w:sz w:val="20"/>
              </w:rPr>
              <w:t xml:space="preserve">Сумма гранта, руб.</w:t>
            </w:r>
          </w:p>
        </w:tc>
      </w:tr>
      <w:tr>
        <w:tc>
          <w:tcPr>
            <w:tcW w:w="340" w:type="dxa"/>
          </w:tcPr>
          <w:p>
            <w:pPr>
              <w:pStyle w:val="0"/>
            </w:pPr>
            <w:r>
              <w:rPr>
                <w:sz w:val="20"/>
              </w:rPr>
            </w:r>
          </w:p>
        </w:tc>
        <w:tc>
          <w:tcPr>
            <w:tcW w:w="3061" w:type="dxa"/>
          </w:tcPr>
          <w:p>
            <w:pPr>
              <w:pStyle w:val="0"/>
            </w:pPr>
            <w:r>
              <w:rPr>
                <w:sz w:val="20"/>
              </w:rPr>
            </w:r>
          </w:p>
        </w:tc>
        <w:tc>
          <w:tcPr>
            <w:tcW w:w="619"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859" w:type="dxa"/>
          </w:tcPr>
          <w:p>
            <w:pPr>
              <w:pStyle w:val="0"/>
            </w:pPr>
            <w:r>
              <w:rPr>
                <w:sz w:val="20"/>
              </w:rPr>
            </w:r>
          </w:p>
        </w:tc>
        <w:tc>
          <w:tcPr>
            <w:tcW w:w="844" w:type="dxa"/>
          </w:tcPr>
          <w:p>
            <w:pPr>
              <w:pStyle w:val="0"/>
            </w:pPr>
            <w:r>
              <w:rPr>
                <w:sz w:val="20"/>
              </w:rPr>
            </w:r>
          </w:p>
        </w:tc>
      </w:tr>
      <w:tr>
        <w:tc>
          <w:tcPr>
            <w:tcW w:w="340" w:type="dxa"/>
          </w:tcPr>
          <w:p>
            <w:pPr>
              <w:pStyle w:val="0"/>
            </w:pPr>
            <w:r>
              <w:rPr>
                <w:sz w:val="20"/>
              </w:rPr>
            </w:r>
          </w:p>
        </w:tc>
        <w:tc>
          <w:tcPr>
            <w:tcW w:w="3061" w:type="dxa"/>
          </w:tcPr>
          <w:p>
            <w:pPr>
              <w:pStyle w:val="0"/>
            </w:pPr>
            <w:r>
              <w:rPr>
                <w:sz w:val="20"/>
              </w:rPr>
            </w:r>
          </w:p>
        </w:tc>
        <w:tc>
          <w:tcPr>
            <w:tcW w:w="619"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859" w:type="dxa"/>
          </w:tcPr>
          <w:p>
            <w:pPr>
              <w:pStyle w:val="0"/>
            </w:pPr>
            <w:r>
              <w:rPr>
                <w:sz w:val="20"/>
              </w:rPr>
            </w:r>
          </w:p>
        </w:tc>
        <w:tc>
          <w:tcPr>
            <w:tcW w:w="844" w:type="dxa"/>
          </w:tcPr>
          <w:p>
            <w:pPr>
              <w:pStyle w:val="0"/>
            </w:pPr>
            <w:r>
              <w:rPr>
                <w:sz w:val="20"/>
              </w:rPr>
            </w:r>
          </w:p>
        </w:tc>
      </w:tr>
      <w:tr>
        <w:tc>
          <w:tcPr>
            <w:tcW w:w="340" w:type="dxa"/>
          </w:tcPr>
          <w:p>
            <w:pPr>
              <w:pStyle w:val="0"/>
            </w:pPr>
            <w:r>
              <w:rPr>
                <w:sz w:val="20"/>
              </w:rPr>
            </w:r>
          </w:p>
        </w:tc>
        <w:tc>
          <w:tcPr>
            <w:gridSpan w:val="5"/>
            <w:tcW w:w="7884" w:type="dxa"/>
          </w:tcPr>
          <w:p>
            <w:pPr>
              <w:pStyle w:val="0"/>
              <w:jc w:val="center"/>
            </w:pPr>
            <w:r>
              <w:rPr>
                <w:sz w:val="20"/>
              </w:rPr>
              <w:t xml:space="preserve">Итого</w:t>
            </w:r>
          </w:p>
        </w:tc>
        <w:tc>
          <w:tcPr>
            <w:tcW w:w="844" w:type="dxa"/>
          </w:tcPr>
          <w:p>
            <w:pPr>
              <w:pStyle w:val="0"/>
            </w:pPr>
            <w:r>
              <w:rPr>
                <w:sz w:val="20"/>
              </w:rPr>
            </w:r>
          </w:p>
        </w:tc>
      </w:tr>
    </w:tbl>
    <w:p>
      <w:pPr>
        <w:pStyle w:val="0"/>
        <w:jc w:val="both"/>
      </w:pPr>
      <w:r>
        <w:rPr>
          <w:sz w:val="20"/>
        </w:rPr>
      </w:r>
    </w:p>
    <w:p>
      <w:pPr>
        <w:pStyle w:val="0"/>
        <w:ind w:firstLine="540"/>
        <w:jc w:val="both"/>
      </w:pPr>
      <w:r>
        <w:rPr>
          <w:sz w:val="20"/>
        </w:rPr>
        <w:t xml:space="preserve">2. Учитывая установленный максимальный и минимальный размер гранта, несоответствие заявителей требованиям и условиям для получения гранта, дату подачи заявочных документов Комиссия рекомендует отказать в предоставлении гранта следующим социальным предприятиям, или молодым предпринимателям: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572"/>
        <w:gridCol w:w="619"/>
        <w:gridCol w:w="1204"/>
        <w:gridCol w:w="1429"/>
        <w:gridCol w:w="859"/>
        <w:gridCol w:w="1039"/>
      </w:tblGrid>
      <w:tr>
        <w:tc>
          <w:tcPr>
            <w:tcW w:w="340" w:type="dxa"/>
          </w:tcPr>
          <w:p>
            <w:pPr>
              <w:pStyle w:val="0"/>
              <w:jc w:val="center"/>
            </w:pPr>
            <w:r>
              <w:rPr>
                <w:sz w:val="20"/>
              </w:rPr>
              <w:t xml:space="preserve">N</w:t>
            </w:r>
          </w:p>
        </w:tc>
        <w:tc>
          <w:tcPr>
            <w:tcW w:w="3572" w:type="dxa"/>
          </w:tcPr>
          <w:p>
            <w:pPr>
              <w:pStyle w:val="0"/>
              <w:jc w:val="center"/>
            </w:pPr>
            <w:r>
              <w:rPr>
                <w:sz w:val="20"/>
              </w:rPr>
              <w:t xml:space="preserve">Наименование субъекта малого и среднего предпринимательства</w:t>
            </w:r>
          </w:p>
        </w:tc>
        <w:tc>
          <w:tcPr>
            <w:tcW w:w="619" w:type="dxa"/>
          </w:tcPr>
          <w:p>
            <w:pPr>
              <w:pStyle w:val="0"/>
              <w:jc w:val="center"/>
            </w:pPr>
            <w:r>
              <w:rPr>
                <w:sz w:val="20"/>
              </w:rPr>
              <w:t xml:space="preserve">ИНН</w:t>
            </w:r>
          </w:p>
        </w:tc>
        <w:tc>
          <w:tcPr>
            <w:tcW w:w="1204" w:type="dxa"/>
          </w:tcPr>
          <w:p>
            <w:pPr>
              <w:pStyle w:val="0"/>
              <w:jc w:val="center"/>
            </w:pPr>
            <w:r>
              <w:rPr>
                <w:sz w:val="20"/>
              </w:rPr>
              <w:t xml:space="preserve">Цель получения гранта</w:t>
            </w:r>
          </w:p>
        </w:tc>
        <w:tc>
          <w:tcPr>
            <w:tcW w:w="1429" w:type="dxa"/>
          </w:tcPr>
          <w:p>
            <w:pPr>
              <w:pStyle w:val="0"/>
              <w:jc w:val="center"/>
            </w:pPr>
            <w:r>
              <w:rPr>
                <w:sz w:val="20"/>
              </w:rPr>
              <w:t xml:space="preserve">Дата поступления заявления и документов</w:t>
            </w:r>
          </w:p>
        </w:tc>
        <w:tc>
          <w:tcPr>
            <w:tcW w:w="859" w:type="dxa"/>
          </w:tcPr>
          <w:p>
            <w:pPr>
              <w:pStyle w:val="0"/>
              <w:jc w:val="center"/>
            </w:pPr>
            <w:r>
              <w:rPr>
                <w:sz w:val="20"/>
              </w:rPr>
              <w:t xml:space="preserve">Общий балл</w:t>
            </w:r>
          </w:p>
        </w:tc>
        <w:tc>
          <w:tcPr>
            <w:tcW w:w="1039" w:type="dxa"/>
          </w:tcPr>
          <w:p>
            <w:pPr>
              <w:pStyle w:val="0"/>
              <w:jc w:val="center"/>
            </w:pPr>
            <w:r>
              <w:rPr>
                <w:sz w:val="20"/>
              </w:rPr>
              <w:t xml:space="preserve">Причина для отказа</w:t>
            </w:r>
          </w:p>
        </w:tc>
      </w:tr>
      <w:tr>
        <w:tc>
          <w:tcPr>
            <w:tcW w:w="340" w:type="dxa"/>
          </w:tcPr>
          <w:p>
            <w:pPr>
              <w:pStyle w:val="0"/>
            </w:pPr>
            <w:r>
              <w:rPr>
                <w:sz w:val="20"/>
              </w:rPr>
            </w:r>
          </w:p>
        </w:tc>
        <w:tc>
          <w:tcPr>
            <w:tcW w:w="3572" w:type="dxa"/>
          </w:tcPr>
          <w:p>
            <w:pPr>
              <w:pStyle w:val="0"/>
            </w:pPr>
            <w:r>
              <w:rPr>
                <w:sz w:val="20"/>
              </w:rPr>
            </w:r>
          </w:p>
        </w:tc>
        <w:tc>
          <w:tcPr>
            <w:tcW w:w="61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859" w:type="dxa"/>
          </w:tcPr>
          <w:p>
            <w:pPr>
              <w:pStyle w:val="0"/>
            </w:pPr>
            <w:r>
              <w:rPr>
                <w:sz w:val="20"/>
              </w:rPr>
            </w:r>
          </w:p>
        </w:tc>
        <w:tc>
          <w:tcPr>
            <w:tcW w:w="1039" w:type="dxa"/>
          </w:tcPr>
          <w:p>
            <w:pPr>
              <w:pStyle w:val="0"/>
            </w:pPr>
            <w:r>
              <w:rPr>
                <w:sz w:val="20"/>
              </w:rPr>
            </w:r>
          </w:p>
        </w:tc>
      </w:tr>
      <w:tr>
        <w:tc>
          <w:tcPr>
            <w:tcW w:w="340" w:type="dxa"/>
          </w:tcPr>
          <w:p>
            <w:pPr>
              <w:pStyle w:val="0"/>
            </w:pPr>
            <w:r>
              <w:rPr>
                <w:sz w:val="20"/>
              </w:rPr>
            </w:r>
          </w:p>
        </w:tc>
        <w:tc>
          <w:tcPr>
            <w:tcW w:w="3572" w:type="dxa"/>
          </w:tcPr>
          <w:p>
            <w:pPr>
              <w:pStyle w:val="0"/>
            </w:pPr>
            <w:r>
              <w:rPr>
                <w:sz w:val="20"/>
              </w:rPr>
            </w:r>
          </w:p>
        </w:tc>
        <w:tc>
          <w:tcPr>
            <w:tcW w:w="619" w:type="dxa"/>
          </w:tcPr>
          <w:p>
            <w:pPr>
              <w:pStyle w:val="0"/>
            </w:pPr>
            <w:r>
              <w:rPr>
                <w:sz w:val="20"/>
              </w:rPr>
            </w:r>
          </w:p>
        </w:tc>
        <w:tc>
          <w:tcPr>
            <w:tcW w:w="1204" w:type="dxa"/>
          </w:tcPr>
          <w:p>
            <w:pPr>
              <w:pStyle w:val="0"/>
            </w:pPr>
            <w:r>
              <w:rPr>
                <w:sz w:val="20"/>
              </w:rPr>
            </w:r>
          </w:p>
        </w:tc>
        <w:tc>
          <w:tcPr>
            <w:tcW w:w="1429" w:type="dxa"/>
          </w:tcPr>
          <w:p>
            <w:pPr>
              <w:pStyle w:val="0"/>
            </w:pPr>
            <w:r>
              <w:rPr>
                <w:sz w:val="20"/>
              </w:rPr>
            </w:r>
          </w:p>
        </w:tc>
        <w:tc>
          <w:tcPr>
            <w:tcW w:w="859" w:type="dxa"/>
          </w:tcPr>
          <w:p>
            <w:pPr>
              <w:pStyle w:val="0"/>
            </w:pPr>
            <w:r>
              <w:rPr>
                <w:sz w:val="20"/>
              </w:rPr>
            </w:r>
          </w:p>
        </w:tc>
        <w:tc>
          <w:tcPr>
            <w:tcW w:w="1039" w:type="dxa"/>
          </w:tcPr>
          <w:p>
            <w:pPr>
              <w:pStyle w:val="0"/>
            </w:pPr>
            <w:r>
              <w:rPr>
                <w:sz w:val="20"/>
              </w:rPr>
            </w:r>
          </w:p>
        </w:tc>
      </w:tr>
    </w:tbl>
    <w:p>
      <w:pPr>
        <w:pStyle w:val="0"/>
        <w:jc w:val="both"/>
      </w:pPr>
      <w:r>
        <w:rPr>
          <w:sz w:val="20"/>
        </w:rPr>
      </w:r>
    </w:p>
    <w:p>
      <w:pPr>
        <w:pStyle w:val="0"/>
        <w:ind w:firstLine="540"/>
        <w:jc w:val="both"/>
      </w:pPr>
      <w:r>
        <w:rPr>
          <w:sz w:val="20"/>
        </w:rPr>
        <w:t xml:space="preserve">Повестка дня исчерпана, других вопросов не поступало.</w:t>
      </w:r>
    </w:p>
    <w:p>
      <w:pPr>
        <w:pStyle w:val="0"/>
        <w:jc w:val="both"/>
      </w:pPr>
      <w:r>
        <w:rPr>
          <w:sz w:val="20"/>
        </w:rPr>
      </w:r>
    </w:p>
    <w:p>
      <w:pPr>
        <w:pStyle w:val="0"/>
        <w:ind w:firstLine="540"/>
        <w:jc w:val="both"/>
      </w:pPr>
      <w:r>
        <w:rPr>
          <w:sz w:val="20"/>
        </w:rPr>
        <w:t xml:space="preserve">Приложения:</w:t>
      </w:r>
    </w:p>
    <w:p>
      <w:pPr>
        <w:pStyle w:val="0"/>
        <w:spacing w:before="200" w:line-rule="auto"/>
        <w:ind w:firstLine="540"/>
        <w:jc w:val="both"/>
      </w:pPr>
      <w:r>
        <w:rPr>
          <w:sz w:val="20"/>
        </w:rPr>
        <w:t xml:space="preserve">1. Расчеты членов Комиссии среднего балла проекта участника отбора - на ___ л. в 1 экз.</w:t>
      </w:r>
    </w:p>
    <w:p>
      <w:pPr>
        <w:pStyle w:val="0"/>
        <w:spacing w:before="200" w:line-rule="auto"/>
        <w:ind w:firstLine="540"/>
        <w:jc w:val="both"/>
      </w:pPr>
      <w:r>
        <w:rPr>
          <w:sz w:val="20"/>
        </w:rPr>
        <w:t xml:space="preserve">--------------------------------</w:t>
      </w:r>
    </w:p>
    <w:bookmarkStart w:id="1693" w:name="P1693"/>
    <w:bookmarkEnd w:id="1693"/>
    <w:p>
      <w:pPr>
        <w:pStyle w:val="0"/>
        <w:spacing w:before="200" w:line-rule="auto"/>
        <w:ind w:firstLine="540"/>
        <w:jc w:val="both"/>
      </w:pPr>
      <w:r>
        <w:rPr>
          <w:sz w:val="20"/>
        </w:rPr>
        <w:t xml:space="preserve">&lt;1&gt; Оценки по каждому критерию суммируются отдельно и делятся на количество членов Комиссии, принявших участие в голосовании, формируя среднее значение оценки по каждому критерию. Средние значения оценок по всем критериям суммируются и определяют значение среднего балла оценки проекта.</w:t>
      </w:r>
    </w:p>
    <w:p>
      <w:pPr>
        <w:pStyle w:val="0"/>
        <w:spacing w:before="200" w:line-rule="auto"/>
        <w:ind w:firstLine="540"/>
        <w:jc w:val="both"/>
      </w:pPr>
      <w:r>
        <w:rPr>
          <w:sz w:val="20"/>
        </w:rPr>
        <w:t xml:space="preserve">При условии средней суммы баллов 7 и более, проект подлежит одобрению.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Протоколу</w:t>
      </w:r>
    </w:p>
    <w:p>
      <w:pPr>
        <w:pStyle w:val="0"/>
        <w:jc w:val="both"/>
      </w:pPr>
      <w:r>
        <w:rPr>
          <w:sz w:val="20"/>
        </w:rPr>
      </w:r>
    </w:p>
    <w:p>
      <w:pPr>
        <w:pStyle w:val="0"/>
        <w:outlineLvl w:val="3"/>
        <w:jc w:val="center"/>
      </w:pPr>
      <w:r>
        <w:rPr>
          <w:sz w:val="20"/>
        </w:rPr>
        <w:t xml:space="preserve">РАСЧЕТ</w:t>
      </w:r>
    </w:p>
    <w:p>
      <w:pPr>
        <w:pStyle w:val="0"/>
        <w:jc w:val="center"/>
      </w:pPr>
      <w:r>
        <w:rPr>
          <w:sz w:val="20"/>
        </w:rPr>
        <w:t xml:space="preserve">среднего балла проекта участника отбора в сфере социального</w:t>
      </w:r>
    </w:p>
    <w:p>
      <w:pPr>
        <w:pStyle w:val="0"/>
        <w:jc w:val="center"/>
      </w:pPr>
      <w:r>
        <w:rPr>
          <w:sz w:val="20"/>
        </w:rPr>
        <w:t xml:space="preserve">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5"/>
        <w:gridCol w:w="3742"/>
        <w:gridCol w:w="2274"/>
      </w:tblGrid>
      <w:tr>
        <w:tc>
          <w:tcPr>
            <w:tcW w:w="3395" w:type="dxa"/>
          </w:tcPr>
          <w:p>
            <w:pPr>
              <w:pStyle w:val="0"/>
              <w:jc w:val="center"/>
            </w:pPr>
            <w:r>
              <w:rPr>
                <w:sz w:val="20"/>
              </w:rPr>
              <w:t xml:space="preserve">ФИО члена Комиссии</w:t>
            </w:r>
          </w:p>
        </w:tc>
        <w:tc>
          <w:tcPr>
            <w:tcW w:w="3742" w:type="dxa"/>
          </w:tcPr>
          <w:p>
            <w:pPr>
              <w:pStyle w:val="0"/>
              <w:jc w:val="center"/>
            </w:pPr>
            <w:r>
              <w:rPr>
                <w:sz w:val="20"/>
              </w:rPr>
              <w:t xml:space="preserve">Должность</w:t>
            </w:r>
          </w:p>
        </w:tc>
        <w:tc>
          <w:tcPr>
            <w:tcW w:w="2274" w:type="dxa"/>
          </w:tcPr>
          <w:p>
            <w:pPr>
              <w:pStyle w:val="0"/>
              <w:jc w:val="center"/>
            </w:pPr>
            <w:r>
              <w:rPr>
                <w:sz w:val="20"/>
              </w:rPr>
              <w:t xml:space="preserve">Подпись</w:t>
            </w:r>
          </w:p>
        </w:tc>
      </w:tr>
      <w:tr>
        <w:tc>
          <w:tcPr>
            <w:tcW w:w="3395" w:type="dxa"/>
          </w:tcPr>
          <w:p>
            <w:pPr>
              <w:pStyle w:val="0"/>
            </w:pPr>
            <w:r>
              <w:rPr>
                <w:sz w:val="20"/>
              </w:rPr>
            </w:r>
          </w:p>
        </w:tc>
        <w:tc>
          <w:tcPr>
            <w:tcW w:w="3742" w:type="dxa"/>
          </w:tcPr>
          <w:p>
            <w:pPr>
              <w:pStyle w:val="0"/>
            </w:pPr>
            <w:r>
              <w:rPr>
                <w:sz w:val="20"/>
              </w:rPr>
            </w:r>
          </w:p>
        </w:tc>
        <w:tc>
          <w:tcPr>
            <w:tcW w:w="227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36"/>
        <w:gridCol w:w="1363"/>
        <w:gridCol w:w="4026"/>
      </w:tblGrid>
      <w:tr>
        <w:tc>
          <w:tcPr>
            <w:gridSpan w:val="4"/>
            <w:tcW w:w="9379" w:type="dxa"/>
          </w:tcPr>
          <w:p>
            <w:pPr>
              <w:pStyle w:val="0"/>
              <w:jc w:val="both"/>
            </w:pPr>
            <w:r>
              <w:rPr>
                <w:sz w:val="20"/>
              </w:rPr>
              <w:t xml:space="preserve">Наименование проекта в сфере социального предпринимательства:</w:t>
            </w:r>
          </w:p>
        </w:tc>
      </w:tr>
      <w:tr>
        <w:tc>
          <w:tcPr>
            <w:gridSpan w:val="2"/>
            <w:tcW w:w="3990" w:type="dxa"/>
          </w:tcPr>
          <w:p>
            <w:pPr>
              <w:pStyle w:val="0"/>
              <w:jc w:val="both"/>
            </w:pPr>
            <w:r>
              <w:rPr>
                <w:sz w:val="20"/>
              </w:rPr>
              <w:t xml:space="preserve">Участник отбора:</w:t>
            </w:r>
          </w:p>
        </w:tc>
        <w:tc>
          <w:tcPr>
            <w:gridSpan w:val="2"/>
            <w:tcW w:w="5389" w:type="dxa"/>
          </w:tcPr>
          <w:p>
            <w:pPr>
              <w:pStyle w:val="0"/>
            </w:pPr>
            <w:r>
              <w:rPr>
                <w:sz w:val="20"/>
              </w:rPr>
            </w:r>
          </w:p>
        </w:tc>
      </w:tr>
      <w:tr>
        <w:tc>
          <w:tcPr>
            <w:tcW w:w="454" w:type="dxa"/>
            <w:vAlign w:val="center"/>
          </w:tcPr>
          <w:p>
            <w:pPr>
              <w:pStyle w:val="0"/>
              <w:jc w:val="center"/>
            </w:pPr>
            <w:r>
              <w:rPr>
                <w:sz w:val="20"/>
              </w:rPr>
              <w:t xml:space="preserve">N</w:t>
            </w:r>
          </w:p>
        </w:tc>
        <w:tc>
          <w:tcPr>
            <w:tcW w:w="3536" w:type="dxa"/>
            <w:vAlign w:val="center"/>
          </w:tcPr>
          <w:p>
            <w:pPr>
              <w:pStyle w:val="0"/>
              <w:jc w:val="center"/>
            </w:pPr>
            <w:r>
              <w:rPr>
                <w:sz w:val="20"/>
              </w:rPr>
              <w:t xml:space="preserve">Критерий оценки</w:t>
            </w:r>
          </w:p>
        </w:tc>
        <w:tc>
          <w:tcPr>
            <w:tcW w:w="1363" w:type="dxa"/>
            <w:vAlign w:val="center"/>
          </w:tcPr>
          <w:p>
            <w:pPr>
              <w:pStyle w:val="0"/>
              <w:jc w:val="center"/>
            </w:pPr>
            <w:r>
              <w:rPr>
                <w:sz w:val="20"/>
              </w:rPr>
              <w:t xml:space="preserve">Количество баллов</w:t>
            </w:r>
          </w:p>
        </w:tc>
        <w:tc>
          <w:tcPr>
            <w:tcW w:w="4026" w:type="dxa"/>
            <w:vAlign w:val="center"/>
          </w:tcPr>
          <w:p>
            <w:pPr>
              <w:pStyle w:val="0"/>
              <w:jc w:val="center"/>
            </w:pPr>
            <w:r>
              <w:rPr>
                <w:sz w:val="20"/>
              </w:rPr>
              <w:t xml:space="preserve">Значение критерия</w:t>
            </w:r>
          </w:p>
        </w:tc>
      </w:tr>
      <w:tr>
        <w:tc>
          <w:tcPr>
            <w:tcW w:w="454" w:type="dxa"/>
          </w:tcPr>
          <w:p>
            <w:pPr>
              <w:pStyle w:val="0"/>
              <w:jc w:val="center"/>
            </w:pPr>
            <w:r>
              <w:rPr>
                <w:sz w:val="20"/>
              </w:rPr>
              <w:t xml:space="preserve">1.</w:t>
            </w:r>
          </w:p>
        </w:tc>
        <w:tc>
          <w:tcPr>
            <w:tcW w:w="3536" w:type="dxa"/>
          </w:tcPr>
          <w:p>
            <w:pPr>
              <w:pStyle w:val="0"/>
              <w:jc w:val="both"/>
            </w:pPr>
            <w:r>
              <w:rPr>
                <w:sz w:val="20"/>
              </w:rPr>
              <w:t xml:space="preserve">Степень детализации реализации 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363" w:type="dxa"/>
          </w:tcPr>
          <w:p>
            <w:pPr>
              <w:pStyle w:val="0"/>
              <w:jc w:val="both"/>
            </w:pPr>
            <w:r>
              <w:rPr>
                <w:sz w:val="20"/>
              </w:rPr>
              <w:t xml:space="preserve">0 - 2 баллов</w:t>
            </w:r>
          </w:p>
        </w:tc>
        <w:tc>
          <w:tcPr>
            <w:tcW w:w="4026" w:type="dxa"/>
          </w:tcPr>
          <w:p>
            <w:pPr>
              <w:pStyle w:val="0"/>
              <w:jc w:val="both"/>
            </w:pPr>
            <w:r>
              <w:rPr>
                <w:sz w:val="20"/>
              </w:rPr>
              <w:t xml:space="preserve">2 - высокая степень детализации плана реализации проекта и обоснованности потребности в финансовых ресурсах;</w:t>
            </w:r>
          </w:p>
          <w:p>
            <w:pPr>
              <w:pStyle w:val="0"/>
              <w:jc w:val="both"/>
            </w:pPr>
            <w:r>
              <w:rPr>
                <w:sz w:val="20"/>
              </w:rPr>
              <w:t xml:space="preserve">1 - план реализации проекта требует уточнения;</w:t>
            </w:r>
          </w:p>
          <w:p>
            <w:pPr>
              <w:pStyle w:val="0"/>
              <w:jc w:val="both"/>
            </w:pPr>
            <w:r>
              <w:rPr>
                <w:sz w:val="20"/>
              </w:rPr>
              <w:t xml:space="preserve">0 - отсутствие детального плана реализации проекта и обоснованности потребности в финансовых ресурсах;</w:t>
            </w:r>
          </w:p>
        </w:tc>
      </w:tr>
      <w:tr>
        <w:tc>
          <w:tcPr>
            <w:tcW w:w="454" w:type="dxa"/>
          </w:tcPr>
          <w:p>
            <w:pPr>
              <w:pStyle w:val="0"/>
              <w:jc w:val="center"/>
            </w:pPr>
            <w:r>
              <w:rPr>
                <w:sz w:val="20"/>
              </w:rPr>
              <w:t xml:space="preserve">2.</w:t>
            </w:r>
          </w:p>
        </w:tc>
        <w:tc>
          <w:tcPr>
            <w:tcW w:w="3536" w:type="dxa"/>
          </w:tcPr>
          <w:p>
            <w:pPr>
              <w:pStyle w:val="0"/>
              <w:jc w:val="both"/>
            </w:pPr>
            <w:r>
              <w:rPr>
                <w:sz w:val="20"/>
              </w:rPr>
              <w:t xml:space="preserve">Степень социального эффекта от проекта</w:t>
            </w:r>
          </w:p>
        </w:tc>
        <w:tc>
          <w:tcPr>
            <w:tcW w:w="1363" w:type="dxa"/>
          </w:tcPr>
          <w:p>
            <w:pPr>
              <w:pStyle w:val="0"/>
              <w:jc w:val="center"/>
            </w:pPr>
            <w:r>
              <w:rPr>
                <w:sz w:val="20"/>
              </w:rPr>
              <w:t xml:space="preserve">0 - 2 баллов</w:t>
            </w:r>
          </w:p>
        </w:tc>
        <w:tc>
          <w:tcPr>
            <w:tcW w:w="4026" w:type="dxa"/>
          </w:tcPr>
          <w:p>
            <w:pPr>
              <w:pStyle w:val="0"/>
              <w:jc w:val="both"/>
            </w:pPr>
            <w:r>
              <w:rPr>
                <w:sz w:val="20"/>
              </w:rPr>
              <w:t xml:space="preserve">2 - реализация проекта рассчитана на Тюменскую область и иные субъекты Российской Федерации;</w:t>
            </w:r>
          </w:p>
          <w:p>
            <w:pPr>
              <w:pStyle w:val="0"/>
              <w:jc w:val="both"/>
            </w:pPr>
            <w:r>
              <w:rPr>
                <w:sz w:val="20"/>
              </w:rPr>
              <w:t xml:space="preserve">1 - реализация проекта рассчитана на Тюменскую область;</w:t>
            </w:r>
          </w:p>
          <w:p>
            <w:pPr>
              <w:pStyle w:val="0"/>
              <w:jc w:val="both"/>
            </w:pPr>
            <w:r>
              <w:rPr>
                <w:sz w:val="20"/>
              </w:rPr>
              <w:t xml:space="preserve">0 - реализация проекта рассчитана только на один населенный пункт в Тюменской области;</w:t>
            </w:r>
          </w:p>
        </w:tc>
      </w:tr>
      <w:tr>
        <w:tc>
          <w:tcPr>
            <w:tcW w:w="454" w:type="dxa"/>
          </w:tcPr>
          <w:p>
            <w:pPr>
              <w:pStyle w:val="0"/>
              <w:jc w:val="center"/>
            </w:pPr>
            <w:r>
              <w:rPr>
                <w:sz w:val="20"/>
              </w:rPr>
              <w:t xml:space="preserve">3</w:t>
            </w:r>
          </w:p>
        </w:tc>
        <w:tc>
          <w:tcPr>
            <w:tcW w:w="3536" w:type="dxa"/>
          </w:tcPr>
          <w:p>
            <w:pPr>
              <w:pStyle w:val="0"/>
              <w:jc w:val="both"/>
            </w:pPr>
            <w:r>
              <w:rPr>
                <w:sz w:val="20"/>
              </w:rPr>
              <w:t xml:space="preserve">Степень обеспеченности материально-технической, ресурсной базой для реализации плана проекта в сфере социального предпринимательства</w:t>
            </w:r>
          </w:p>
        </w:tc>
        <w:tc>
          <w:tcPr>
            <w:tcW w:w="1363" w:type="dxa"/>
          </w:tcPr>
          <w:p>
            <w:pPr>
              <w:pStyle w:val="0"/>
              <w:jc w:val="center"/>
            </w:pPr>
            <w:r>
              <w:rPr>
                <w:sz w:val="20"/>
              </w:rPr>
              <w:t xml:space="preserve">0 - 2 баллов</w:t>
            </w:r>
          </w:p>
        </w:tc>
        <w:tc>
          <w:tcPr>
            <w:tcW w:w="4026" w:type="dxa"/>
          </w:tcPr>
          <w:p>
            <w:pPr>
              <w:pStyle w:val="0"/>
              <w:jc w:val="both"/>
            </w:pPr>
            <w:r>
              <w:rPr>
                <w:sz w:val="20"/>
              </w:rPr>
              <w:t xml:space="preserve">2 - наличие собственной материально-технической, ресурсной базы для реализации плана проекта, подтвержденной документально (копии документов на приобретение основных средств, на аренду помещений, земельных участков, на поставку сырья и материалов и иных документов, подтверждающих наличие собственной материально-технической, ресурсной базы для реализации плана проекта);</w:t>
            </w:r>
          </w:p>
          <w:p>
            <w:pPr>
              <w:pStyle w:val="0"/>
              <w:jc w:val="both"/>
            </w:pPr>
            <w:r>
              <w:rPr>
                <w:sz w:val="20"/>
              </w:rPr>
              <w:t xml:space="preserve">1 - имеется минимальная материально-техническая, ресурсная база, для реализации плана проекта могут потребоваться дополнительные ресурсы;</w:t>
            </w:r>
          </w:p>
          <w:p>
            <w:pPr>
              <w:pStyle w:val="0"/>
              <w:jc w:val="both"/>
            </w:pPr>
            <w:r>
              <w:rPr>
                <w:sz w:val="20"/>
              </w:rPr>
              <w:t xml:space="preserve">0 - отсутствие материально-технической, ресурсной базы для реализации плана проекта;</w:t>
            </w:r>
          </w:p>
        </w:tc>
      </w:tr>
      <w:tr>
        <w:tc>
          <w:tcPr>
            <w:tcW w:w="454" w:type="dxa"/>
          </w:tcPr>
          <w:p>
            <w:pPr>
              <w:pStyle w:val="0"/>
              <w:jc w:val="center"/>
            </w:pPr>
            <w:r>
              <w:rPr>
                <w:sz w:val="20"/>
              </w:rPr>
              <w:t xml:space="preserve">4.</w:t>
            </w:r>
          </w:p>
        </w:tc>
        <w:tc>
          <w:tcPr>
            <w:tcW w:w="3536" w:type="dxa"/>
          </w:tcPr>
          <w:p>
            <w:pPr>
              <w:pStyle w:val="0"/>
              <w:jc w:val="both"/>
            </w:pPr>
            <w:r>
              <w:rPr>
                <w:sz w:val="20"/>
              </w:rPr>
              <w:t xml:space="preserve">Уровень квалификации персонала, реализующего проект в сфере социального предпринимательства</w:t>
            </w:r>
          </w:p>
        </w:tc>
        <w:tc>
          <w:tcPr>
            <w:tcW w:w="1363" w:type="dxa"/>
          </w:tcPr>
          <w:p>
            <w:pPr>
              <w:pStyle w:val="0"/>
              <w:jc w:val="center"/>
            </w:pPr>
            <w:r>
              <w:rPr>
                <w:sz w:val="20"/>
              </w:rPr>
              <w:t xml:space="preserve">0 - 2 баллов</w:t>
            </w:r>
          </w:p>
        </w:tc>
        <w:tc>
          <w:tcPr>
            <w:tcW w:w="4026" w:type="dxa"/>
          </w:tcPr>
          <w:p>
            <w:pPr>
              <w:pStyle w:val="0"/>
              <w:jc w:val="both"/>
            </w:pPr>
            <w:r>
              <w:rPr>
                <w:sz w:val="20"/>
              </w:rPr>
              <w:t xml:space="preserve">2 - высокий уровень квалификации персонала, наличие образования и опыта работы, соответствующих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высокий уровень квалификации персонала, наличие образования и опыта работы, соответствующих профилю деятельности участника отбора);</w:t>
            </w:r>
          </w:p>
          <w:p>
            <w:pPr>
              <w:pStyle w:val="0"/>
              <w:jc w:val="both"/>
            </w:pPr>
            <w:r>
              <w:rPr>
                <w:sz w:val="20"/>
              </w:rPr>
              <w:t xml:space="preserve">1 - средний уровень квалификации персонала, наличие образования, соответствующего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и иных документов, подтверждающих средний уровень квалификации персонала, наличие образования, соответствующего профилю деятельности участника отбора);</w:t>
            </w:r>
          </w:p>
          <w:p>
            <w:pPr>
              <w:pStyle w:val="0"/>
              <w:jc w:val="both"/>
            </w:pPr>
            <w:r>
              <w:rPr>
                <w:sz w:val="20"/>
              </w:rPr>
              <w:t xml:space="preserve">0 - отсутствие квалифицированного персонала для реализации бизнес-плана проекта;</w:t>
            </w:r>
          </w:p>
        </w:tc>
      </w:tr>
      <w:tr>
        <w:tc>
          <w:tcPr>
            <w:tcW w:w="454" w:type="dxa"/>
          </w:tcPr>
          <w:p>
            <w:pPr>
              <w:pStyle w:val="0"/>
              <w:jc w:val="center"/>
            </w:pPr>
            <w:r>
              <w:rPr>
                <w:sz w:val="20"/>
              </w:rPr>
              <w:t xml:space="preserve">5</w:t>
            </w:r>
          </w:p>
        </w:tc>
        <w:tc>
          <w:tcPr>
            <w:tcW w:w="3536" w:type="dxa"/>
          </w:tcPr>
          <w:p>
            <w:pPr>
              <w:pStyle w:val="0"/>
              <w:jc w:val="both"/>
            </w:pPr>
            <w:r>
              <w:rPr>
                <w:sz w:val="20"/>
              </w:rPr>
              <w:t xml:space="preserve">Обоснование востребованности товаров (работ, услуг) участника отбора и реализации плана продаж</w:t>
            </w:r>
          </w:p>
        </w:tc>
        <w:tc>
          <w:tcPr>
            <w:tcW w:w="1363" w:type="dxa"/>
          </w:tcPr>
          <w:p>
            <w:pPr>
              <w:pStyle w:val="0"/>
              <w:jc w:val="center"/>
            </w:pPr>
            <w:r>
              <w:rPr>
                <w:sz w:val="20"/>
              </w:rPr>
              <w:t xml:space="preserve">0 - 2 баллов</w:t>
            </w:r>
          </w:p>
        </w:tc>
        <w:tc>
          <w:tcPr>
            <w:tcW w:w="4026" w:type="dxa"/>
          </w:tcPr>
          <w:p>
            <w:pPr>
              <w:pStyle w:val="0"/>
              <w:jc w:val="both"/>
            </w:pPr>
            <w:r>
              <w:rPr>
                <w:sz w:val="20"/>
              </w:rPr>
              <w:t xml:space="preserve">2 - наличие подробного анализа рынка и документального подтверждения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w:t>
            </w:r>
          </w:p>
          <w:p>
            <w:pPr>
              <w:pStyle w:val="0"/>
              <w:jc w:val="both"/>
            </w:pPr>
            <w:r>
              <w:rPr>
                <w:sz w:val="20"/>
              </w:rPr>
              <w:t xml:space="preserve">1 - анализ рынка и документальное подтверждение востребованности товаров (работ, услуг) участника отбора (копии договоров на поставку, предварительных договоров и иных документов, подтверждающих востребованности товаров (работ, услуг) участника отбора) требуют уточнения;</w:t>
            </w:r>
          </w:p>
          <w:p>
            <w:pPr>
              <w:pStyle w:val="0"/>
              <w:jc w:val="both"/>
            </w:pPr>
            <w:r>
              <w:rPr>
                <w:sz w:val="20"/>
              </w:rPr>
              <w:t xml:space="preserve">0 - отсутствие анализа рынка.</w:t>
            </w:r>
          </w:p>
        </w:tc>
      </w:tr>
      <w:tr>
        <w:tc>
          <w:tcPr>
            <w:tcW w:w="454" w:type="dxa"/>
          </w:tcPr>
          <w:p>
            <w:pPr>
              <w:pStyle w:val="0"/>
              <w:jc w:val="center"/>
            </w:pPr>
            <w:r>
              <w:rPr>
                <w:sz w:val="20"/>
              </w:rPr>
              <w:t xml:space="preserve">6</w:t>
            </w:r>
          </w:p>
        </w:tc>
        <w:tc>
          <w:tcPr>
            <w:tcW w:w="3536" w:type="dxa"/>
          </w:tcPr>
          <w:p>
            <w:pPr>
              <w:pStyle w:val="0"/>
              <w:jc w:val="both"/>
            </w:pPr>
            <w:r>
              <w:rPr>
                <w:sz w:val="20"/>
              </w:rPr>
              <w:t xml:space="preserve">Срок окупаемости проекта в сфере социального предпринимательства</w:t>
            </w:r>
          </w:p>
        </w:tc>
        <w:tc>
          <w:tcPr>
            <w:tcW w:w="1363" w:type="dxa"/>
          </w:tcPr>
          <w:p>
            <w:pPr>
              <w:pStyle w:val="0"/>
              <w:jc w:val="center"/>
            </w:pPr>
            <w:r>
              <w:rPr>
                <w:sz w:val="20"/>
              </w:rPr>
              <w:t xml:space="preserve">0 - 2 баллов</w:t>
            </w:r>
          </w:p>
        </w:tc>
        <w:tc>
          <w:tcPr>
            <w:tcW w:w="4026" w:type="dxa"/>
          </w:tcPr>
          <w:p>
            <w:pPr>
              <w:pStyle w:val="0"/>
              <w:jc w:val="both"/>
            </w:pPr>
            <w:r>
              <w:rPr>
                <w:sz w:val="20"/>
              </w:rPr>
              <w:t xml:space="preserve">2 - до 1,5 лет;</w:t>
            </w:r>
          </w:p>
          <w:p>
            <w:pPr>
              <w:pStyle w:val="0"/>
              <w:jc w:val="both"/>
            </w:pPr>
            <w:r>
              <w:rPr>
                <w:sz w:val="20"/>
              </w:rPr>
              <w:t xml:space="preserve">1 - от 1,5 до 3 лет;</w:t>
            </w:r>
          </w:p>
          <w:p>
            <w:pPr>
              <w:pStyle w:val="0"/>
              <w:jc w:val="both"/>
            </w:pPr>
            <w:r>
              <w:rPr>
                <w:sz w:val="20"/>
              </w:rPr>
              <w:t xml:space="preserve">0 - свыше 3 лет;</w:t>
            </w:r>
          </w:p>
        </w:tc>
      </w:tr>
      <w:tr>
        <w:tc>
          <w:tcPr>
            <w:tcW w:w="454" w:type="dxa"/>
          </w:tcPr>
          <w:p>
            <w:pPr>
              <w:pStyle w:val="0"/>
              <w:jc w:val="center"/>
            </w:pPr>
            <w:r>
              <w:rPr>
                <w:sz w:val="20"/>
              </w:rPr>
              <w:t xml:space="preserve">7.</w:t>
            </w:r>
          </w:p>
        </w:tc>
        <w:tc>
          <w:tcPr>
            <w:tcW w:w="3536" w:type="dxa"/>
          </w:tcPr>
          <w:p>
            <w:pPr>
              <w:pStyle w:val="0"/>
              <w:jc w:val="both"/>
            </w:pPr>
            <w:r>
              <w:rPr>
                <w:sz w:val="20"/>
              </w:rPr>
              <w:t xml:space="preserve">Информационная открытость (наличие информации об организации в информационно-телекоммуникационной сети "Интернет")</w:t>
            </w:r>
          </w:p>
        </w:tc>
        <w:tc>
          <w:tcPr>
            <w:tcW w:w="1363" w:type="dxa"/>
          </w:tcPr>
          <w:p>
            <w:pPr>
              <w:pStyle w:val="0"/>
              <w:jc w:val="center"/>
            </w:pPr>
            <w:r>
              <w:rPr>
                <w:sz w:val="20"/>
              </w:rPr>
              <w:t xml:space="preserve">0 - 2 баллов</w:t>
            </w:r>
          </w:p>
        </w:tc>
        <w:tc>
          <w:tcPr>
            <w:tcW w:w="4026" w:type="dxa"/>
          </w:tcPr>
          <w:p>
            <w:pPr>
              <w:pStyle w:val="0"/>
              <w:jc w:val="both"/>
            </w:pPr>
            <w:r>
              <w:rPr>
                <w:sz w:val="20"/>
              </w:rPr>
              <w:t xml:space="preserve">2 - наличие действующих: официального сайта участника отбора, иных публичных страниц в социальных сетях;</w:t>
            </w:r>
          </w:p>
          <w:p>
            <w:pPr>
              <w:pStyle w:val="0"/>
              <w:jc w:val="both"/>
            </w:pPr>
            <w:r>
              <w:rPr>
                <w:sz w:val="20"/>
              </w:rPr>
              <w:t xml:space="preserve">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pPr>
              <w:pStyle w:val="0"/>
              <w:jc w:val="both"/>
            </w:pPr>
            <w:r>
              <w:rPr>
                <w:sz w:val="20"/>
              </w:rPr>
              <w:t xml:space="preserve">0 - отсутствие у участника отбора официального сайта, иных публичных страниц в социальных сетях;</w:t>
            </w:r>
          </w:p>
        </w:tc>
      </w:tr>
    </w:tbl>
    <w:p>
      <w:pPr>
        <w:pStyle w:val="0"/>
        <w:jc w:val="both"/>
      </w:pPr>
      <w:r>
        <w:rPr>
          <w:sz w:val="20"/>
        </w:rPr>
      </w:r>
    </w:p>
    <w:p>
      <w:pPr>
        <w:pStyle w:val="0"/>
        <w:jc w:val="both"/>
      </w:pPr>
      <w:r>
        <w:rPr>
          <w:sz w:val="20"/>
        </w:rPr>
      </w:r>
    </w:p>
    <w:p>
      <w:pPr>
        <w:pStyle w:val="0"/>
        <w:jc w:val="both"/>
      </w:pPr>
      <w:r>
        <w:rPr>
          <w:sz w:val="20"/>
        </w:rPr>
      </w:r>
    </w:p>
    <w:p>
      <w:pPr>
        <w:pStyle w:val="0"/>
        <w:outlineLvl w:val="3"/>
        <w:jc w:val="center"/>
      </w:pPr>
      <w:r>
        <w:rPr>
          <w:sz w:val="20"/>
        </w:rPr>
        <w:t xml:space="preserve">РАСЧЕТ</w:t>
      </w:r>
    </w:p>
    <w:p>
      <w:pPr>
        <w:pStyle w:val="0"/>
        <w:jc w:val="center"/>
      </w:pPr>
      <w:r>
        <w:rPr>
          <w:sz w:val="20"/>
        </w:rPr>
        <w:t xml:space="preserve">среднего балла проекта участника отбора в сфере</w:t>
      </w:r>
    </w:p>
    <w:p>
      <w:pPr>
        <w:pStyle w:val="0"/>
        <w:jc w:val="center"/>
      </w:pPr>
      <w:r>
        <w:rPr>
          <w:sz w:val="20"/>
        </w:rPr>
        <w:t xml:space="preserve">предпринимательской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3186"/>
        <w:gridCol w:w="2490"/>
      </w:tblGrid>
      <w:tr>
        <w:tc>
          <w:tcPr>
            <w:tcW w:w="3969" w:type="dxa"/>
          </w:tcPr>
          <w:p>
            <w:pPr>
              <w:pStyle w:val="0"/>
              <w:jc w:val="center"/>
            </w:pPr>
            <w:r>
              <w:rPr>
                <w:sz w:val="20"/>
              </w:rPr>
              <w:t xml:space="preserve">ФИО члена Комиссии</w:t>
            </w:r>
          </w:p>
        </w:tc>
        <w:tc>
          <w:tcPr>
            <w:tcW w:w="3186" w:type="dxa"/>
          </w:tcPr>
          <w:p>
            <w:pPr>
              <w:pStyle w:val="0"/>
              <w:jc w:val="center"/>
            </w:pPr>
            <w:r>
              <w:rPr>
                <w:sz w:val="20"/>
              </w:rPr>
              <w:t xml:space="preserve">Должность</w:t>
            </w:r>
          </w:p>
        </w:tc>
        <w:tc>
          <w:tcPr>
            <w:tcW w:w="2490" w:type="dxa"/>
          </w:tcPr>
          <w:p>
            <w:pPr>
              <w:pStyle w:val="0"/>
              <w:jc w:val="center"/>
            </w:pPr>
            <w:r>
              <w:rPr>
                <w:sz w:val="20"/>
              </w:rPr>
              <w:t xml:space="preserve">Подпись</w:t>
            </w:r>
          </w:p>
        </w:tc>
      </w:tr>
      <w:tr>
        <w:tc>
          <w:tcPr>
            <w:tcW w:w="3969" w:type="dxa"/>
          </w:tcPr>
          <w:p>
            <w:pPr>
              <w:pStyle w:val="0"/>
            </w:pPr>
            <w:r>
              <w:rPr>
                <w:sz w:val="20"/>
              </w:rPr>
            </w:r>
          </w:p>
        </w:tc>
        <w:tc>
          <w:tcPr>
            <w:tcW w:w="3186" w:type="dxa"/>
          </w:tcPr>
          <w:p>
            <w:pPr>
              <w:pStyle w:val="0"/>
            </w:pPr>
            <w:r>
              <w:rPr>
                <w:sz w:val="20"/>
              </w:rPr>
            </w:r>
          </w:p>
        </w:tc>
        <w:tc>
          <w:tcPr>
            <w:tcW w:w="2490"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951"/>
        <w:gridCol w:w="1140"/>
        <w:gridCol w:w="5100"/>
      </w:tblGrid>
      <w:tr>
        <w:tc>
          <w:tcPr>
            <w:gridSpan w:val="4"/>
            <w:tcW w:w="9645" w:type="dxa"/>
          </w:tcPr>
          <w:p>
            <w:pPr>
              <w:pStyle w:val="0"/>
            </w:pPr>
            <w:r>
              <w:rPr>
                <w:sz w:val="20"/>
              </w:rPr>
              <w:t xml:space="preserve">Наименование проекта в сфере предпринимательской деятельности:</w:t>
            </w:r>
          </w:p>
        </w:tc>
      </w:tr>
      <w:tr>
        <w:tc>
          <w:tcPr>
            <w:gridSpan w:val="4"/>
            <w:tcW w:w="9645" w:type="dxa"/>
          </w:tcPr>
          <w:p>
            <w:pPr>
              <w:pStyle w:val="0"/>
            </w:pPr>
            <w:r>
              <w:rPr>
                <w:sz w:val="20"/>
              </w:rPr>
              <w:t xml:space="preserve">Участник отбора:</w:t>
            </w:r>
          </w:p>
        </w:tc>
      </w:tr>
      <w:tr>
        <w:tc>
          <w:tcPr>
            <w:tcW w:w="454" w:type="dxa"/>
          </w:tcPr>
          <w:p>
            <w:pPr>
              <w:pStyle w:val="0"/>
              <w:jc w:val="center"/>
            </w:pPr>
            <w:r>
              <w:rPr>
                <w:sz w:val="20"/>
              </w:rPr>
              <w:t xml:space="preserve">N</w:t>
            </w:r>
          </w:p>
        </w:tc>
        <w:tc>
          <w:tcPr>
            <w:tcW w:w="2951" w:type="dxa"/>
          </w:tcPr>
          <w:p>
            <w:pPr>
              <w:pStyle w:val="0"/>
              <w:jc w:val="center"/>
            </w:pPr>
            <w:r>
              <w:rPr>
                <w:sz w:val="20"/>
              </w:rPr>
              <w:t xml:space="preserve">Критерий оценки</w:t>
            </w:r>
          </w:p>
        </w:tc>
        <w:tc>
          <w:tcPr>
            <w:tcW w:w="1140" w:type="dxa"/>
          </w:tcPr>
          <w:p>
            <w:pPr>
              <w:pStyle w:val="0"/>
              <w:jc w:val="center"/>
            </w:pPr>
            <w:r>
              <w:rPr>
                <w:sz w:val="20"/>
              </w:rPr>
              <w:t xml:space="preserve">Количество баллов</w:t>
            </w:r>
          </w:p>
        </w:tc>
        <w:tc>
          <w:tcPr>
            <w:tcW w:w="5100" w:type="dxa"/>
          </w:tcPr>
          <w:p>
            <w:pPr>
              <w:pStyle w:val="0"/>
              <w:jc w:val="center"/>
            </w:pPr>
            <w:r>
              <w:rPr>
                <w:sz w:val="20"/>
              </w:rPr>
              <w:t xml:space="preserve">Значение критерия</w:t>
            </w:r>
          </w:p>
        </w:tc>
      </w:tr>
      <w:tr>
        <w:tc>
          <w:tcPr>
            <w:tcW w:w="454" w:type="dxa"/>
          </w:tcPr>
          <w:p>
            <w:pPr>
              <w:pStyle w:val="0"/>
            </w:pPr>
            <w:r>
              <w:rPr>
                <w:sz w:val="20"/>
              </w:rPr>
              <w:t xml:space="preserve">1.</w:t>
            </w:r>
          </w:p>
        </w:tc>
        <w:tc>
          <w:tcPr>
            <w:tcW w:w="2951" w:type="dxa"/>
          </w:tcPr>
          <w:p>
            <w:pPr>
              <w:pStyle w:val="0"/>
            </w:pPr>
            <w:r>
              <w:rPr>
                <w:sz w:val="20"/>
              </w:rPr>
              <w:t xml:space="preserve">Степень детализации реализации плана проекта в краткосрочной перспективе (до одного года) и обоснованности потребности в финансовых ресурсах для его реализации</w:t>
            </w:r>
          </w:p>
        </w:tc>
        <w:tc>
          <w:tcPr>
            <w:tcW w:w="1140" w:type="dxa"/>
          </w:tcPr>
          <w:p>
            <w:pPr>
              <w:pStyle w:val="0"/>
              <w:jc w:val="center"/>
            </w:pPr>
            <w:r>
              <w:rPr>
                <w:sz w:val="20"/>
              </w:rPr>
              <w:t xml:space="preserve">0 - 2 баллов</w:t>
            </w:r>
          </w:p>
        </w:tc>
        <w:tc>
          <w:tcPr>
            <w:tcW w:w="5100" w:type="dxa"/>
          </w:tcPr>
          <w:p>
            <w:pPr>
              <w:pStyle w:val="0"/>
            </w:pPr>
            <w:r>
              <w:rPr>
                <w:sz w:val="20"/>
              </w:rPr>
              <w:t xml:space="preserve">2 - высокая степень детализации плана реализации проекта и обоснованности потребности в финансовых ресурсах;</w:t>
            </w:r>
          </w:p>
          <w:p>
            <w:pPr>
              <w:pStyle w:val="0"/>
            </w:pPr>
            <w:r>
              <w:rPr>
                <w:sz w:val="20"/>
              </w:rPr>
              <w:t xml:space="preserve">1 - план реализации проекта требует уточнения;</w:t>
            </w:r>
          </w:p>
          <w:p>
            <w:pPr>
              <w:pStyle w:val="0"/>
            </w:pPr>
            <w:r>
              <w:rPr>
                <w:sz w:val="20"/>
              </w:rPr>
              <w:t xml:space="preserve">0 - отсутствие детального плана реализации проекта и обоснованности потребности в финансовых ресурсах;</w:t>
            </w:r>
          </w:p>
        </w:tc>
      </w:tr>
      <w:tr>
        <w:tc>
          <w:tcPr>
            <w:tcW w:w="454" w:type="dxa"/>
          </w:tcPr>
          <w:p>
            <w:pPr>
              <w:pStyle w:val="0"/>
            </w:pPr>
            <w:r>
              <w:rPr>
                <w:sz w:val="20"/>
              </w:rPr>
              <w:t xml:space="preserve">2.</w:t>
            </w:r>
          </w:p>
        </w:tc>
        <w:tc>
          <w:tcPr>
            <w:tcW w:w="2951" w:type="dxa"/>
          </w:tcPr>
          <w:p>
            <w:pPr>
              <w:pStyle w:val="0"/>
            </w:pPr>
            <w:r>
              <w:rPr>
                <w:sz w:val="20"/>
              </w:rPr>
              <w:t xml:space="preserve">Уникальность проекта</w:t>
            </w:r>
          </w:p>
        </w:tc>
        <w:tc>
          <w:tcPr>
            <w:tcW w:w="1140" w:type="dxa"/>
          </w:tcPr>
          <w:p>
            <w:pPr>
              <w:pStyle w:val="0"/>
              <w:jc w:val="center"/>
            </w:pPr>
            <w:r>
              <w:rPr>
                <w:sz w:val="20"/>
              </w:rPr>
              <w:t xml:space="preserve">0 - 2 баллов</w:t>
            </w:r>
          </w:p>
        </w:tc>
        <w:tc>
          <w:tcPr>
            <w:tcW w:w="5100" w:type="dxa"/>
          </w:tcPr>
          <w:p>
            <w:pPr>
              <w:pStyle w:val="0"/>
            </w:pPr>
            <w:r>
              <w:rPr>
                <w:sz w:val="20"/>
              </w:rPr>
              <w:t xml:space="preserve">2 - обозначена и аргументирована уникальность проекта, а также содержится концепция будущего бизнеса;</w:t>
            </w:r>
          </w:p>
          <w:p>
            <w:pPr>
              <w:pStyle w:val="0"/>
            </w:pPr>
            <w:r>
              <w:rPr>
                <w:sz w:val="20"/>
              </w:rPr>
              <w:t xml:space="preserve">1 - проект не уникален, но идеи описаны;</w:t>
            </w:r>
          </w:p>
          <w:p>
            <w:pPr>
              <w:pStyle w:val="0"/>
            </w:pPr>
            <w:r>
              <w:rPr>
                <w:sz w:val="20"/>
              </w:rPr>
              <w:t xml:space="preserve">0 - проект не уникален, отсутствует концепция развития проекта.</w:t>
            </w:r>
          </w:p>
        </w:tc>
      </w:tr>
      <w:tr>
        <w:tc>
          <w:tcPr>
            <w:tcW w:w="454" w:type="dxa"/>
          </w:tcPr>
          <w:p>
            <w:pPr>
              <w:pStyle w:val="0"/>
            </w:pPr>
            <w:r>
              <w:rPr>
                <w:sz w:val="20"/>
              </w:rPr>
              <w:t xml:space="preserve">3.</w:t>
            </w:r>
          </w:p>
        </w:tc>
        <w:tc>
          <w:tcPr>
            <w:tcW w:w="2951" w:type="dxa"/>
          </w:tcPr>
          <w:p>
            <w:pPr>
              <w:pStyle w:val="0"/>
            </w:pPr>
            <w:r>
              <w:rPr>
                <w:sz w:val="20"/>
              </w:rPr>
              <w:t xml:space="preserve">Обоснованность практической значимости проекта для реального сектора экономики</w:t>
            </w:r>
          </w:p>
        </w:tc>
        <w:tc>
          <w:tcPr>
            <w:tcW w:w="1140" w:type="dxa"/>
          </w:tcPr>
          <w:p>
            <w:pPr>
              <w:pStyle w:val="0"/>
              <w:jc w:val="center"/>
            </w:pPr>
            <w:r>
              <w:rPr>
                <w:sz w:val="20"/>
              </w:rPr>
              <w:t xml:space="preserve">0 - 2 баллов</w:t>
            </w:r>
          </w:p>
        </w:tc>
        <w:tc>
          <w:tcPr>
            <w:tcW w:w="5100" w:type="dxa"/>
          </w:tcPr>
          <w:p>
            <w:pPr>
              <w:pStyle w:val="0"/>
            </w:pPr>
            <w:r>
              <w:rPr>
                <w:sz w:val="20"/>
              </w:rPr>
              <w:t xml:space="preserve">2 - аргументирована применимость проекта в реальных жизненных условиях и конкретизирована сфера, в которой будет реализован проект;</w:t>
            </w:r>
          </w:p>
          <w:p>
            <w:pPr>
              <w:pStyle w:val="0"/>
            </w:pPr>
            <w:r>
              <w:rPr>
                <w:sz w:val="20"/>
              </w:rPr>
              <w:t xml:space="preserve">1 - представлена информация о возможности практического применения проекта без конкретизации сферы, в которой будет решена проблема;</w:t>
            </w:r>
          </w:p>
          <w:p>
            <w:pPr>
              <w:pStyle w:val="0"/>
            </w:pPr>
            <w:r>
              <w:rPr>
                <w:sz w:val="20"/>
              </w:rPr>
              <w:t xml:space="preserve">0 - отсутствие практической значимости для региона.</w:t>
            </w:r>
          </w:p>
        </w:tc>
      </w:tr>
      <w:tr>
        <w:tc>
          <w:tcPr>
            <w:tcW w:w="454" w:type="dxa"/>
          </w:tcPr>
          <w:p>
            <w:pPr>
              <w:pStyle w:val="0"/>
            </w:pPr>
            <w:r>
              <w:rPr>
                <w:sz w:val="20"/>
              </w:rPr>
              <w:t xml:space="preserve">4.</w:t>
            </w:r>
          </w:p>
        </w:tc>
        <w:tc>
          <w:tcPr>
            <w:tcW w:w="2951" w:type="dxa"/>
          </w:tcPr>
          <w:p>
            <w:pPr>
              <w:pStyle w:val="0"/>
            </w:pPr>
            <w:r>
              <w:rPr>
                <w:sz w:val="20"/>
              </w:rPr>
              <w:t xml:space="preserve">Обоснование востребованности товаров (работ, услуг) участника отбора и реализации плана продаж</w:t>
            </w:r>
          </w:p>
        </w:tc>
        <w:tc>
          <w:tcPr>
            <w:tcW w:w="1140" w:type="dxa"/>
          </w:tcPr>
          <w:p>
            <w:pPr>
              <w:pStyle w:val="0"/>
              <w:jc w:val="center"/>
            </w:pPr>
            <w:r>
              <w:rPr>
                <w:sz w:val="20"/>
              </w:rPr>
              <w:t xml:space="preserve">0 - 2 баллов</w:t>
            </w:r>
          </w:p>
        </w:tc>
        <w:tc>
          <w:tcPr>
            <w:tcW w:w="5100" w:type="dxa"/>
          </w:tcPr>
          <w:p>
            <w:pPr>
              <w:pStyle w:val="0"/>
            </w:pPr>
            <w:r>
              <w:rPr>
                <w:sz w:val="20"/>
              </w:rPr>
              <w:t xml:space="preserve">2 - целевой рынок описан, составлен образ потенциального клиента, проведен анализ конкурентов;</w:t>
            </w:r>
          </w:p>
          <w:p>
            <w:pPr>
              <w:pStyle w:val="0"/>
            </w:pPr>
            <w:r>
              <w:rPr>
                <w:sz w:val="20"/>
              </w:rPr>
              <w:t xml:space="preserve">1 - анализ рынка и организационная составляющая проекта требуют уточнения;</w:t>
            </w:r>
          </w:p>
          <w:p>
            <w:pPr>
              <w:pStyle w:val="0"/>
            </w:pPr>
            <w:r>
              <w:rPr>
                <w:sz w:val="20"/>
              </w:rPr>
              <w:t xml:space="preserve">0 - отсутствие анализа рынка;</w:t>
            </w:r>
          </w:p>
        </w:tc>
      </w:tr>
      <w:tr>
        <w:tc>
          <w:tcPr>
            <w:tcW w:w="454" w:type="dxa"/>
          </w:tcPr>
          <w:p>
            <w:pPr>
              <w:pStyle w:val="0"/>
            </w:pPr>
            <w:r>
              <w:rPr>
                <w:sz w:val="20"/>
              </w:rPr>
              <w:t xml:space="preserve">5.</w:t>
            </w:r>
          </w:p>
        </w:tc>
        <w:tc>
          <w:tcPr>
            <w:tcW w:w="2951" w:type="dxa"/>
          </w:tcPr>
          <w:p>
            <w:pPr>
              <w:pStyle w:val="0"/>
            </w:pPr>
            <w:r>
              <w:rPr>
                <w:sz w:val="20"/>
              </w:rPr>
              <w:t xml:space="preserve">Экономическая эффективность проекта</w:t>
            </w:r>
          </w:p>
        </w:tc>
        <w:tc>
          <w:tcPr>
            <w:tcW w:w="1140" w:type="dxa"/>
          </w:tcPr>
          <w:p>
            <w:pPr>
              <w:pStyle w:val="0"/>
              <w:jc w:val="center"/>
            </w:pPr>
            <w:r>
              <w:rPr>
                <w:sz w:val="20"/>
              </w:rPr>
              <w:t xml:space="preserve">0 - 2 баллов</w:t>
            </w:r>
          </w:p>
        </w:tc>
        <w:tc>
          <w:tcPr>
            <w:tcW w:w="5100" w:type="dxa"/>
          </w:tcPr>
          <w:p>
            <w:pPr>
              <w:pStyle w:val="0"/>
            </w:pPr>
            <w:r>
              <w:rPr>
                <w:sz w:val="20"/>
              </w:rPr>
              <w:t xml:space="preserve">2 -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w:t>
            </w:r>
          </w:p>
          <w:p>
            <w:pPr>
              <w:pStyle w:val="0"/>
            </w:pPr>
            <w:r>
              <w:rPr>
                <w:sz w:val="20"/>
              </w:rPr>
              <w:t xml:space="preserve">1 - экономическая эффективность рассчитана, представлено сопоставление ключевых показателей собственного проекта (норма доходности, срок окупаемости, чистая приведенная стоимость) и проектов, реализуемых в регионе / России с указанием источника, но показатели находятся ниже пределов рынка;</w:t>
            </w:r>
          </w:p>
          <w:p>
            <w:pPr>
              <w:pStyle w:val="0"/>
            </w:pPr>
            <w:r>
              <w:rPr>
                <w:sz w:val="20"/>
              </w:rPr>
              <w:t xml:space="preserve">0 - экономическая эффективность не рассчитана или рассчитана без приведения информации по аналогичным проектам.</w:t>
            </w:r>
          </w:p>
        </w:tc>
      </w:tr>
      <w:tr>
        <w:tc>
          <w:tcPr>
            <w:tcW w:w="454" w:type="dxa"/>
          </w:tcPr>
          <w:p>
            <w:pPr>
              <w:pStyle w:val="0"/>
            </w:pPr>
            <w:r>
              <w:rPr>
                <w:sz w:val="20"/>
              </w:rPr>
              <w:t xml:space="preserve">6.</w:t>
            </w:r>
          </w:p>
        </w:tc>
        <w:tc>
          <w:tcPr>
            <w:tcW w:w="2951" w:type="dxa"/>
          </w:tcPr>
          <w:p>
            <w:pPr>
              <w:pStyle w:val="0"/>
            </w:pPr>
            <w:r>
              <w:rPr>
                <w:sz w:val="20"/>
              </w:rPr>
              <w:t xml:space="preserve">Наличие собственных средств в проекте</w:t>
            </w:r>
          </w:p>
        </w:tc>
        <w:tc>
          <w:tcPr>
            <w:tcW w:w="1140" w:type="dxa"/>
          </w:tcPr>
          <w:p>
            <w:pPr>
              <w:pStyle w:val="0"/>
              <w:jc w:val="center"/>
            </w:pPr>
            <w:r>
              <w:rPr>
                <w:sz w:val="20"/>
              </w:rPr>
              <w:t xml:space="preserve">0 - 2 баллов</w:t>
            </w:r>
          </w:p>
        </w:tc>
        <w:tc>
          <w:tcPr>
            <w:tcW w:w="5100" w:type="dxa"/>
          </w:tcPr>
          <w:p>
            <w:pPr>
              <w:pStyle w:val="0"/>
            </w:pPr>
            <w:r>
              <w:rPr>
                <w:sz w:val="20"/>
              </w:rPr>
              <w:t xml:space="preserve">2 - наличие собственной материально-технической, ресурсной базы для реализации плана проекта;</w:t>
            </w:r>
          </w:p>
          <w:p>
            <w:pPr>
              <w:pStyle w:val="0"/>
            </w:pPr>
            <w:r>
              <w:rPr>
                <w:sz w:val="20"/>
              </w:rPr>
              <w:t xml:space="preserve">1 - имеется минимальная материально-техническая, ресурсная база, для реализации плана проекта могут потребоваться дополнительные ресурсы;</w:t>
            </w:r>
          </w:p>
          <w:p>
            <w:pPr>
              <w:pStyle w:val="0"/>
            </w:pPr>
            <w:r>
              <w:rPr>
                <w:sz w:val="20"/>
              </w:rPr>
              <w:t xml:space="preserve">0 - отсутствие материально-технической, ресурсной базы для реализации плана проекта;</w:t>
            </w:r>
          </w:p>
        </w:tc>
      </w:tr>
      <w:tr>
        <w:tc>
          <w:tcPr>
            <w:tcW w:w="454" w:type="dxa"/>
          </w:tcPr>
          <w:p>
            <w:pPr>
              <w:pStyle w:val="0"/>
            </w:pPr>
            <w:r>
              <w:rPr>
                <w:sz w:val="20"/>
              </w:rPr>
              <w:t xml:space="preserve">7.</w:t>
            </w:r>
          </w:p>
        </w:tc>
        <w:tc>
          <w:tcPr>
            <w:tcW w:w="2951" w:type="dxa"/>
          </w:tcPr>
          <w:p>
            <w:pPr>
              <w:pStyle w:val="0"/>
            </w:pPr>
            <w:r>
              <w:rPr>
                <w:sz w:val="20"/>
              </w:rPr>
              <w:t xml:space="preserve">Информационная открытость (наличие информации об организации в информационно-телекоммуникационной сети "Интернет")</w:t>
            </w:r>
          </w:p>
        </w:tc>
        <w:tc>
          <w:tcPr>
            <w:tcW w:w="1140" w:type="dxa"/>
          </w:tcPr>
          <w:p>
            <w:pPr>
              <w:pStyle w:val="0"/>
              <w:jc w:val="center"/>
            </w:pPr>
            <w:r>
              <w:rPr>
                <w:sz w:val="20"/>
              </w:rPr>
              <w:t xml:space="preserve">0 - 2 баллов</w:t>
            </w:r>
          </w:p>
        </w:tc>
        <w:tc>
          <w:tcPr>
            <w:tcW w:w="5100" w:type="dxa"/>
          </w:tcPr>
          <w:p>
            <w:pPr>
              <w:pStyle w:val="0"/>
            </w:pPr>
            <w:r>
              <w:rPr>
                <w:sz w:val="20"/>
              </w:rPr>
              <w:t xml:space="preserve">2 - наличие действующих: официального сайта участника отбора, иных публичных страниц в социальных сетях;</w:t>
            </w:r>
          </w:p>
          <w:p>
            <w:pPr>
              <w:pStyle w:val="0"/>
            </w:pPr>
            <w:r>
              <w:rPr>
                <w:sz w:val="20"/>
              </w:rPr>
              <w:t xml:space="preserve">1 - наличие действующей (действующих) публичной (публичных) страницы (страниц) участника отбора в социальных сетях либо официального сайта участника отбора;</w:t>
            </w:r>
          </w:p>
          <w:p>
            <w:pPr>
              <w:pStyle w:val="0"/>
            </w:pPr>
            <w:r>
              <w:rPr>
                <w:sz w:val="20"/>
              </w:rPr>
              <w:t xml:space="preserve">0 - отсутствие у участника отбора официального сайта, иных публичных страниц в социальных сетях.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 малого</w:t>
      </w:r>
    </w:p>
    <w:p>
      <w:pPr>
        <w:pStyle w:val="0"/>
        <w:jc w:val="right"/>
      </w:pPr>
      <w:r>
        <w:rPr>
          <w:sz w:val="20"/>
        </w:rPr>
        <w:t xml:space="preserve">и среднего предпринимательства, созданным физическими</w:t>
      </w:r>
    </w:p>
    <w:p>
      <w:pPr>
        <w:pStyle w:val="0"/>
        <w:jc w:val="right"/>
      </w:pPr>
      <w:r>
        <w:rPr>
          <w:sz w:val="20"/>
        </w:rPr>
        <w:t xml:space="preserve">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7"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color w:val="392c69"/>
              </w:rPr>
              <w:t xml:space="preserve"> Правительства Тюменской области</w:t>
            </w:r>
          </w:p>
          <w:p>
            <w:pPr>
              <w:pStyle w:val="0"/>
              <w:jc w:val="center"/>
            </w:pPr>
            <w:r>
              <w:rPr>
                <w:sz w:val="20"/>
                <w:color w:val="392c69"/>
              </w:rPr>
              <w:t xml:space="preserve">от 20.06.2022 N 390-п;</w:t>
            </w:r>
          </w:p>
          <w:p>
            <w:pPr>
              <w:pStyle w:val="0"/>
              <w:jc w:val="center"/>
            </w:pPr>
            <w:r>
              <w:rPr>
                <w:sz w:val="20"/>
                <w:color w:val="392c69"/>
              </w:rPr>
              <w:t xml:space="preserve">в ред. постановлений Правительства Тюменской области от 20.12.2022 </w:t>
            </w:r>
            <w:hyperlink w:history="0" r:id="rId288"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N 964-п</w:t>
              </w:r>
            </w:hyperlink>
            <w:r>
              <w:rPr>
                <w:sz w:val="20"/>
                <w:color w:val="392c69"/>
              </w:rPr>
              <w:t xml:space="preserve">,</w:t>
            </w:r>
          </w:p>
          <w:p>
            <w:pPr>
              <w:pStyle w:val="0"/>
              <w:jc w:val="center"/>
            </w:pPr>
            <w:r>
              <w:rPr>
                <w:sz w:val="20"/>
                <w:color w:val="392c69"/>
              </w:rPr>
              <w:t xml:space="preserve">от 09.10.2023 </w:t>
            </w:r>
            <w:hyperlink w:history="0" r:id="rId289" w:tooltip="Постановление Правительства Тюменской области от 09.10.2023 N 653-п &quot;О внесении изменений в некоторые нормативные правовые акты&quot; {КонсультантПлюс}">
              <w:r>
                <w:rPr>
                  <w:sz w:val="20"/>
                  <w:color w:val="0000ff"/>
                </w:rPr>
                <w:t xml:space="preserve">N 653-п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43" w:name="P1843"/>
    <w:bookmarkEnd w:id="1843"/>
    <w:p>
      <w:pPr>
        <w:pStyle w:val="0"/>
        <w:jc w:val="center"/>
      </w:pPr>
      <w:r>
        <w:rPr>
          <w:sz w:val="20"/>
        </w:rPr>
        <w:t xml:space="preserve">Отчет</w:t>
      </w:r>
    </w:p>
    <w:p>
      <w:pPr>
        <w:pStyle w:val="0"/>
        <w:jc w:val="center"/>
      </w:pPr>
      <w:r>
        <w:rPr>
          <w:sz w:val="20"/>
        </w:rPr>
        <w:t xml:space="preserve">о реализации проекта</w:t>
      </w:r>
    </w:p>
    <w:p>
      <w:pPr>
        <w:pStyle w:val="0"/>
        <w:jc w:val="center"/>
      </w:pPr>
      <w:r>
        <w:rPr>
          <w:sz w:val="20"/>
        </w:rPr>
        <w:t xml:space="preserve">по состоянию на "__" _________ 20__ года</w:t>
      </w:r>
    </w:p>
    <w:p>
      <w:pPr>
        <w:pStyle w:val="0"/>
        <w:jc w:val="both"/>
      </w:pPr>
      <w:r>
        <w:rPr>
          <w:sz w:val="20"/>
        </w:rPr>
      </w:r>
    </w:p>
    <w:p>
      <w:pPr>
        <w:pStyle w:val="0"/>
        <w:ind w:firstLine="540"/>
        <w:jc w:val="both"/>
      </w:pPr>
      <w:r>
        <w:rPr>
          <w:sz w:val="20"/>
        </w:rPr>
        <w:t xml:space="preserve">1. Целевое использование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00"/>
        <w:gridCol w:w="1920"/>
        <w:gridCol w:w="1191"/>
        <w:gridCol w:w="840"/>
        <w:gridCol w:w="1305"/>
        <w:gridCol w:w="1815"/>
      </w:tblGrid>
      <w:tr>
        <w:tc>
          <w:tcPr>
            <w:tcW w:w="2900" w:type="dxa"/>
            <w:vMerge w:val="restart"/>
          </w:tcPr>
          <w:p>
            <w:pPr>
              <w:pStyle w:val="0"/>
              <w:jc w:val="center"/>
            </w:pPr>
            <w:r>
              <w:rPr>
                <w:sz w:val="20"/>
              </w:rPr>
              <w:t xml:space="preserve">Наименование статьи затрат</w:t>
            </w:r>
          </w:p>
        </w:tc>
        <w:tc>
          <w:tcPr>
            <w:tcW w:w="1920" w:type="dxa"/>
            <w:vMerge w:val="restart"/>
          </w:tcPr>
          <w:p>
            <w:pPr>
              <w:pStyle w:val="0"/>
              <w:jc w:val="center"/>
            </w:pPr>
            <w:r>
              <w:rPr>
                <w:sz w:val="20"/>
              </w:rPr>
              <w:t xml:space="preserve">Количество</w:t>
            </w:r>
          </w:p>
        </w:tc>
        <w:tc>
          <w:tcPr>
            <w:tcW w:w="1191" w:type="dxa"/>
            <w:vMerge w:val="restart"/>
          </w:tcPr>
          <w:p>
            <w:pPr>
              <w:pStyle w:val="0"/>
              <w:jc w:val="center"/>
            </w:pPr>
            <w:r>
              <w:rPr>
                <w:sz w:val="20"/>
              </w:rPr>
              <w:t xml:space="preserve">Цена единицы, рублей</w:t>
            </w:r>
          </w:p>
        </w:tc>
        <w:tc>
          <w:tcPr>
            <w:gridSpan w:val="3"/>
            <w:tcW w:w="3960" w:type="dxa"/>
          </w:tcPr>
          <w:p>
            <w:pPr>
              <w:pStyle w:val="0"/>
              <w:jc w:val="center"/>
            </w:pPr>
            <w:r>
              <w:rPr>
                <w:sz w:val="20"/>
              </w:rPr>
              <w:t xml:space="preserve">Сумма затрат, рублей </w:t>
            </w:r>
            <w:hyperlink w:history="0" w:anchor="P2010" w:tooltip="&lt;1&gt; К отчету получатель гранта прикладывает документы, подтверждающие целевое использование гранта, участие собственных (заемных) средств получателя гранта в реализации проекта в размере не менее 25% от размера гранта.">
              <w:r>
                <w:rPr>
                  <w:sz w:val="20"/>
                  <w:color w:val="0000ff"/>
                </w:rPr>
                <w:t xml:space="preserve">&lt;1&gt;</w:t>
              </w:r>
            </w:hyperlink>
          </w:p>
        </w:tc>
      </w:tr>
      <w:tr>
        <w:tc>
          <w:tcPr>
            <w:vMerge w:val="continue"/>
          </w:tcPr>
          <w:p/>
        </w:tc>
        <w:tc>
          <w:tcPr>
            <w:vMerge w:val="continue"/>
          </w:tcPr>
          <w:p/>
        </w:tc>
        <w:tc>
          <w:tcPr>
            <w:vMerge w:val="continue"/>
          </w:tcPr>
          <w:p/>
        </w:tc>
        <w:tc>
          <w:tcPr>
            <w:tcW w:w="840" w:type="dxa"/>
            <w:vMerge w:val="restart"/>
          </w:tcPr>
          <w:p>
            <w:pPr>
              <w:pStyle w:val="0"/>
              <w:jc w:val="center"/>
            </w:pPr>
            <w:r>
              <w:rPr>
                <w:sz w:val="20"/>
              </w:rPr>
              <w:t xml:space="preserve">всего</w:t>
            </w:r>
          </w:p>
        </w:tc>
        <w:tc>
          <w:tcPr>
            <w:gridSpan w:val="2"/>
            <w:tcW w:w="3120"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305" w:type="dxa"/>
          </w:tcPr>
          <w:p>
            <w:pPr>
              <w:pStyle w:val="0"/>
              <w:jc w:val="center"/>
            </w:pPr>
            <w:r>
              <w:rPr>
                <w:sz w:val="20"/>
              </w:rPr>
              <w:t xml:space="preserve">средства гранта</w:t>
            </w:r>
          </w:p>
        </w:tc>
        <w:tc>
          <w:tcPr>
            <w:tcW w:w="1815" w:type="dxa"/>
          </w:tcPr>
          <w:p>
            <w:pPr>
              <w:pStyle w:val="0"/>
              <w:jc w:val="center"/>
            </w:pPr>
            <w:r>
              <w:rPr>
                <w:sz w:val="20"/>
              </w:rPr>
              <w:t xml:space="preserve">собственные и заемные средства (не менее 25%)</w:t>
            </w:r>
          </w:p>
        </w:tc>
      </w:tr>
      <w:tr>
        <w:tc>
          <w:tcPr>
            <w:tcW w:w="2900" w:type="dxa"/>
          </w:tcPr>
          <w:p>
            <w:pPr>
              <w:pStyle w:val="0"/>
              <w:jc w:val="center"/>
            </w:pPr>
            <w:r>
              <w:rPr>
                <w:sz w:val="20"/>
              </w:rPr>
              <w:t xml:space="preserve">1</w:t>
            </w:r>
          </w:p>
        </w:tc>
        <w:tc>
          <w:tcPr>
            <w:tcW w:w="1920" w:type="dxa"/>
          </w:tcPr>
          <w:p>
            <w:pPr>
              <w:pStyle w:val="0"/>
              <w:jc w:val="center"/>
            </w:pPr>
            <w:r>
              <w:rPr>
                <w:sz w:val="20"/>
              </w:rPr>
              <w:t xml:space="preserve">2</w:t>
            </w:r>
          </w:p>
        </w:tc>
        <w:tc>
          <w:tcPr>
            <w:tcW w:w="1191" w:type="dxa"/>
          </w:tcPr>
          <w:p>
            <w:pPr>
              <w:pStyle w:val="0"/>
              <w:jc w:val="center"/>
            </w:pPr>
            <w:r>
              <w:rPr>
                <w:sz w:val="20"/>
              </w:rPr>
              <w:t xml:space="preserve">3</w:t>
            </w:r>
          </w:p>
        </w:tc>
        <w:tc>
          <w:tcPr>
            <w:tcW w:w="840" w:type="dxa"/>
          </w:tcPr>
          <w:p>
            <w:pPr>
              <w:pStyle w:val="0"/>
              <w:jc w:val="center"/>
            </w:pPr>
            <w:r>
              <w:rPr>
                <w:sz w:val="20"/>
              </w:rPr>
              <w:t xml:space="preserve">4</w:t>
            </w:r>
          </w:p>
        </w:tc>
        <w:tc>
          <w:tcPr>
            <w:tcW w:w="1305" w:type="dxa"/>
          </w:tcPr>
          <w:p>
            <w:pPr>
              <w:pStyle w:val="0"/>
              <w:jc w:val="center"/>
            </w:pPr>
            <w:r>
              <w:rPr>
                <w:sz w:val="20"/>
              </w:rPr>
              <w:t xml:space="preserve">5</w:t>
            </w:r>
          </w:p>
        </w:tc>
        <w:tc>
          <w:tcPr>
            <w:tcW w:w="1815" w:type="dxa"/>
          </w:tcPr>
          <w:p>
            <w:pPr>
              <w:pStyle w:val="0"/>
              <w:jc w:val="center"/>
            </w:pPr>
            <w:r>
              <w:rPr>
                <w:sz w:val="20"/>
              </w:rPr>
              <w:t xml:space="preserve">6</w:t>
            </w:r>
          </w:p>
        </w:tc>
      </w:tr>
      <w:tr>
        <w:tc>
          <w:tcPr>
            <w:gridSpan w:val="6"/>
            <w:tcW w:w="9971" w:type="dxa"/>
          </w:tcPr>
          <w:p>
            <w:pPr>
              <w:pStyle w:val="0"/>
              <w:jc w:val="center"/>
            </w:pPr>
            <w:r>
              <w:rPr>
                <w:sz w:val="20"/>
              </w:rPr>
              <w:t xml:space="preserve">Направления расходов на реализацию проекта</w:t>
            </w:r>
          </w:p>
        </w:tc>
      </w:tr>
      <w:tr>
        <w:tc>
          <w:tcPr>
            <w:gridSpan w:val="6"/>
            <w:tcW w:w="9971" w:type="dxa"/>
          </w:tcPr>
          <w:p>
            <w:pPr>
              <w:pStyle w:val="0"/>
              <w:jc w:val="center"/>
            </w:pPr>
            <w:r>
              <w:rPr>
                <w:sz w:val="20"/>
              </w:rPr>
              <w:t xml:space="preserve">1. Аренда нежилого помещения</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2. Ремонт нежилого помещения, включая приобретение строительных материалов, оборудования, необходимого для ремонта помещения</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3. Аренда и (или) приобретение оргтехники, оборудования (в том числе инвентаря, мебели)</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4. Выплата по передаче прав на франшизу (паушальный платеж)</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6. Оплата коммунальных услуг и услуг электроснабжения</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7. Оформление результатов интеллектуальной деятельности</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8. Приобретение основных средств (за исключением приобретения зданий, сооружений, земельных участков, автомобилей)</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9. Переоборудование транспортных средств для перевозки маломобильных групп населения, в том числе инвалидов</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10. Оплата услуг связи, в том числе информационно-телекоммуникационной сети "Интернет"</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13. Приобретение сырья, расходных материалов, необходимых для производства продукции и оказания услуг</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w:t>
            </w:r>
            <w:hyperlink w:history="0" w:anchor="P2011" w:tooltip="&lt;2&gt; Только для социальных предприятий.">
              <w:r>
                <w:rPr>
                  <w:sz w:val="20"/>
                  <w:color w:val="0000ff"/>
                </w:rPr>
                <w:t xml:space="preserve">&lt;2&gt;</w:t>
              </w:r>
            </w:hyperlink>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15. Уплата первого взноса (аванса) при заключении договора лизинга и (или) лизинговых платежей</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gridSpan w:val="6"/>
            <w:tcW w:w="9971" w:type="dxa"/>
          </w:tcPr>
          <w:p>
            <w:pPr>
              <w:pStyle w:val="0"/>
              <w:jc w:val="center"/>
            </w:pPr>
            <w:r>
              <w:rPr>
                <w:sz w:val="20"/>
              </w:rPr>
              <w:t xml:space="preserve">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r>
      <w:tr>
        <w:tc>
          <w:tcPr>
            <w:tcW w:w="2900" w:type="dxa"/>
          </w:tcPr>
          <w:p>
            <w:pPr>
              <w:pStyle w:val="0"/>
            </w:pPr>
            <w:r>
              <w:rPr>
                <w:sz w:val="20"/>
              </w:rPr>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r>
        <w:tc>
          <w:tcPr>
            <w:tcW w:w="2900" w:type="dxa"/>
          </w:tcPr>
          <w:p>
            <w:pPr>
              <w:pStyle w:val="0"/>
            </w:pPr>
            <w:r>
              <w:rPr>
                <w:sz w:val="20"/>
              </w:rPr>
              <w:t xml:space="preserve">Итого затрат</w:t>
            </w:r>
          </w:p>
        </w:tc>
        <w:tc>
          <w:tcPr>
            <w:tcW w:w="1920" w:type="dxa"/>
          </w:tcPr>
          <w:p>
            <w:pPr>
              <w:pStyle w:val="0"/>
            </w:pPr>
            <w:r>
              <w:rPr>
                <w:sz w:val="20"/>
              </w:rPr>
            </w:r>
          </w:p>
        </w:tc>
        <w:tc>
          <w:tcPr>
            <w:tcW w:w="1191" w:type="dxa"/>
          </w:tcPr>
          <w:p>
            <w:pPr>
              <w:pStyle w:val="0"/>
            </w:pPr>
            <w:r>
              <w:rPr>
                <w:sz w:val="20"/>
              </w:rPr>
            </w:r>
          </w:p>
        </w:tc>
        <w:tc>
          <w:tcPr>
            <w:tcW w:w="840" w:type="dxa"/>
          </w:tcPr>
          <w:p>
            <w:pPr>
              <w:pStyle w:val="0"/>
            </w:pPr>
            <w:r>
              <w:rPr>
                <w:sz w:val="20"/>
              </w:rPr>
            </w:r>
          </w:p>
        </w:tc>
        <w:tc>
          <w:tcPr>
            <w:tcW w:w="1305" w:type="dxa"/>
          </w:tcPr>
          <w:p>
            <w:pPr>
              <w:pStyle w:val="0"/>
            </w:pPr>
            <w:r>
              <w:rPr>
                <w:sz w:val="20"/>
              </w:rPr>
            </w:r>
          </w:p>
        </w:tc>
        <w:tc>
          <w:tcPr>
            <w:tcW w:w="1815" w:type="dxa"/>
          </w:tcPr>
          <w:p>
            <w:pPr>
              <w:pStyle w:val="0"/>
            </w:pPr>
            <w:r>
              <w:rPr>
                <w:sz w:val="20"/>
              </w:rPr>
            </w:r>
          </w:p>
        </w:tc>
      </w:tr>
    </w:tbl>
    <w:p>
      <w:pPr>
        <w:pStyle w:val="0"/>
        <w:jc w:val="both"/>
      </w:pPr>
      <w:r>
        <w:rPr>
          <w:sz w:val="20"/>
        </w:rPr>
      </w:r>
    </w:p>
    <w:p>
      <w:pPr>
        <w:pStyle w:val="0"/>
        <w:ind w:firstLine="540"/>
        <w:jc w:val="both"/>
      </w:pPr>
      <w:r>
        <w:rPr>
          <w:sz w:val="20"/>
        </w:rPr>
        <w:t xml:space="preserve">2. Реализации проекта согласно плану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9"/>
        <w:gridCol w:w="2841"/>
        <w:gridCol w:w="1962"/>
        <w:gridCol w:w="2551"/>
        <w:gridCol w:w="2226"/>
      </w:tblGrid>
      <w:tr>
        <w:tc>
          <w:tcPr>
            <w:tcW w:w="389" w:type="dxa"/>
          </w:tcPr>
          <w:p>
            <w:pPr>
              <w:pStyle w:val="0"/>
              <w:jc w:val="center"/>
            </w:pPr>
            <w:r>
              <w:rPr>
                <w:sz w:val="20"/>
              </w:rPr>
              <w:t xml:space="preserve">N</w:t>
            </w:r>
          </w:p>
        </w:tc>
        <w:tc>
          <w:tcPr>
            <w:tcW w:w="2841" w:type="dxa"/>
          </w:tcPr>
          <w:p>
            <w:pPr>
              <w:pStyle w:val="0"/>
              <w:jc w:val="center"/>
            </w:pPr>
            <w:r>
              <w:rPr>
                <w:sz w:val="20"/>
              </w:rPr>
              <w:t xml:space="preserve">Наименование мероприятия проекта</w:t>
            </w:r>
          </w:p>
        </w:tc>
        <w:tc>
          <w:tcPr>
            <w:tcW w:w="1962" w:type="dxa"/>
          </w:tcPr>
          <w:p>
            <w:pPr>
              <w:pStyle w:val="0"/>
              <w:jc w:val="center"/>
            </w:pPr>
            <w:r>
              <w:rPr>
                <w:sz w:val="20"/>
              </w:rPr>
              <w:t xml:space="preserve">Начало реализации мероприятия проекта</w:t>
            </w:r>
          </w:p>
        </w:tc>
        <w:tc>
          <w:tcPr>
            <w:tcW w:w="2551" w:type="dxa"/>
          </w:tcPr>
          <w:p>
            <w:pPr>
              <w:pStyle w:val="0"/>
              <w:jc w:val="center"/>
            </w:pPr>
            <w:r>
              <w:rPr>
                <w:sz w:val="20"/>
              </w:rPr>
              <w:t xml:space="preserve">Итоговые сроки реализации мероприятия проекта</w:t>
            </w:r>
          </w:p>
        </w:tc>
        <w:tc>
          <w:tcPr>
            <w:tcW w:w="2226" w:type="dxa"/>
          </w:tcPr>
          <w:p>
            <w:pPr>
              <w:pStyle w:val="0"/>
              <w:jc w:val="center"/>
            </w:pPr>
            <w:r>
              <w:rPr>
                <w:sz w:val="20"/>
              </w:rPr>
              <w:t xml:space="preserve">Результат</w:t>
            </w:r>
          </w:p>
        </w:tc>
      </w:tr>
      <w:tr>
        <w:tc>
          <w:tcPr>
            <w:tcW w:w="389" w:type="dxa"/>
          </w:tcPr>
          <w:p>
            <w:pPr>
              <w:pStyle w:val="0"/>
            </w:pPr>
            <w:r>
              <w:rPr>
                <w:sz w:val="20"/>
              </w:rPr>
            </w:r>
          </w:p>
        </w:tc>
        <w:tc>
          <w:tcPr>
            <w:tcW w:w="2841" w:type="dxa"/>
          </w:tcPr>
          <w:p>
            <w:pPr>
              <w:pStyle w:val="0"/>
            </w:pPr>
            <w:r>
              <w:rPr>
                <w:sz w:val="20"/>
              </w:rPr>
            </w:r>
          </w:p>
        </w:tc>
        <w:tc>
          <w:tcPr>
            <w:tcW w:w="1962" w:type="dxa"/>
          </w:tcPr>
          <w:p>
            <w:pPr>
              <w:pStyle w:val="0"/>
            </w:pPr>
            <w:r>
              <w:rPr>
                <w:sz w:val="20"/>
              </w:rPr>
            </w:r>
          </w:p>
        </w:tc>
        <w:tc>
          <w:tcPr>
            <w:tcW w:w="2551" w:type="dxa"/>
          </w:tcPr>
          <w:p>
            <w:pPr>
              <w:pStyle w:val="0"/>
            </w:pPr>
            <w:r>
              <w:rPr>
                <w:sz w:val="20"/>
              </w:rPr>
            </w:r>
          </w:p>
        </w:tc>
        <w:tc>
          <w:tcPr>
            <w:tcW w:w="2226" w:type="dxa"/>
          </w:tcPr>
          <w:p>
            <w:pPr>
              <w:pStyle w:val="0"/>
            </w:pPr>
            <w:r>
              <w:rPr>
                <w:sz w:val="20"/>
              </w:rPr>
            </w:r>
          </w:p>
        </w:tc>
      </w:tr>
      <w:tr>
        <w:tc>
          <w:tcPr>
            <w:tcW w:w="389" w:type="dxa"/>
          </w:tcPr>
          <w:p>
            <w:pPr>
              <w:pStyle w:val="0"/>
            </w:pPr>
            <w:r>
              <w:rPr>
                <w:sz w:val="20"/>
              </w:rPr>
            </w:r>
          </w:p>
        </w:tc>
        <w:tc>
          <w:tcPr>
            <w:tcW w:w="2841" w:type="dxa"/>
          </w:tcPr>
          <w:p>
            <w:pPr>
              <w:pStyle w:val="0"/>
            </w:pPr>
            <w:r>
              <w:rPr>
                <w:sz w:val="20"/>
              </w:rPr>
            </w:r>
          </w:p>
        </w:tc>
        <w:tc>
          <w:tcPr>
            <w:tcW w:w="1962" w:type="dxa"/>
          </w:tcPr>
          <w:p>
            <w:pPr>
              <w:pStyle w:val="0"/>
            </w:pPr>
            <w:r>
              <w:rPr>
                <w:sz w:val="20"/>
              </w:rPr>
            </w:r>
          </w:p>
        </w:tc>
        <w:tc>
          <w:tcPr>
            <w:tcW w:w="2551" w:type="dxa"/>
          </w:tcPr>
          <w:p>
            <w:pPr>
              <w:pStyle w:val="0"/>
            </w:pPr>
            <w:r>
              <w:rPr>
                <w:sz w:val="20"/>
              </w:rPr>
            </w:r>
          </w:p>
        </w:tc>
        <w:tc>
          <w:tcPr>
            <w:tcW w:w="2226" w:type="dxa"/>
          </w:tcPr>
          <w:p>
            <w:pPr>
              <w:pStyle w:val="0"/>
            </w:pPr>
            <w:r>
              <w:rPr>
                <w:sz w:val="20"/>
              </w:rPr>
            </w:r>
          </w:p>
        </w:tc>
      </w:tr>
    </w:tbl>
    <w:p>
      <w:pPr>
        <w:pStyle w:val="0"/>
        <w:jc w:val="both"/>
      </w:pPr>
      <w:r>
        <w:rPr>
          <w:sz w:val="20"/>
        </w:rPr>
      </w:r>
    </w:p>
    <w:p>
      <w:pPr>
        <w:pStyle w:val="1"/>
        <w:jc w:val="both"/>
      </w:pPr>
      <w:r>
        <w:rPr>
          <w:sz w:val="20"/>
        </w:rPr>
        <w:t xml:space="preserve">    Обоснование  недостижения  планового  результата (в случае недостижения</w:t>
      </w:r>
    </w:p>
    <w:p>
      <w:pPr>
        <w:pStyle w:val="1"/>
        <w:jc w:val="both"/>
      </w:pPr>
      <w:r>
        <w:rPr>
          <w:sz w:val="20"/>
        </w:rPr>
        <w:t xml:space="preserve">планового результата, заявленного получателем гранта при участии в отборе).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Приложения: ___________________________________ на ___ л. в 1 экз.</w:t>
      </w:r>
    </w:p>
    <w:p>
      <w:pPr>
        <w:pStyle w:val="0"/>
        <w:ind w:firstLine="540"/>
        <w:jc w:val="both"/>
      </w:pPr>
      <w:r>
        <w:rPr>
          <w:sz w:val="20"/>
        </w:rPr>
        <w:t xml:space="preserve">--------------------------------</w:t>
      </w:r>
    </w:p>
    <w:bookmarkStart w:id="2010" w:name="P2010"/>
    <w:bookmarkEnd w:id="2010"/>
    <w:p>
      <w:pPr>
        <w:pStyle w:val="0"/>
        <w:spacing w:before="200" w:line-rule="auto"/>
        <w:ind w:firstLine="540"/>
        <w:jc w:val="both"/>
      </w:pPr>
      <w:r>
        <w:rPr>
          <w:sz w:val="20"/>
        </w:rPr>
        <w:t xml:space="preserve">&lt;1&gt; К отчету получатель гранта прикладывает документы, подтверждающие целевое использование гранта, участие собственных (заемных) средств получателя гранта в реализации проекта в размере не менее 25% от размера гранта.</w:t>
      </w:r>
    </w:p>
    <w:bookmarkStart w:id="2011" w:name="P2011"/>
    <w:bookmarkEnd w:id="2011"/>
    <w:p>
      <w:pPr>
        <w:pStyle w:val="0"/>
        <w:spacing w:before="200" w:line-rule="auto"/>
        <w:ind w:firstLine="540"/>
        <w:jc w:val="both"/>
      </w:pPr>
      <w:r>
        <w:rPr>
          <w:sz w:val="20"/>
        </w:rPr>
        <w:t xml:space="preserve">&lt;2&gt; Только для социальных предприятий.</w:t>
      </w:r>
    </w:p>
    <w:p>
      <w:pPr>
        <w:pStyle w:val="0"/>
        <w:jc w:val="both"/>
      </w:pPr>
      <w:r>
        <w:rPr>
          <w:sz w:val="20"/>
        </w:rPr>
      </w:r>
    </w:p>
    <w:p>
      <w:pPr>
        <w:pStyle w:val="0"/>
        <w:ind w:firstLine="540"/>
        <w:jc w:val="both"/>
      </w:pPr>
      <w:r>
        <w:rPr>
          <w:sz w:val="20"/>
        </w:rPr>
        <w:t xml:space="preserve">для руководителя организации/индивидуального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082"/>
        <w:gridCol w:w="2891"/>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08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 полностью)</w:t>
            </w:r>
          </w:p>
        </w:tc>
        <w:tc>
          <w:tcPr>
            <w:tcW w:w="2891" w:type="dxa"/>
            <w:tcBorders>
              <w:top w:val="nil"/>
              <w:left w:val="nil"/>
              <w:bottom w:val="nil"/>
              <w:right w:val="nil"/>
            </w:tcBorders>
          </w:tcPr>
          <w:p>
            <w:pPr>
              <w:pStyle w:val="0"/>
              <w:jc w:val="center"/>
            </w:pPr>
            <w:r>
              <w:rPr>
                <w:sz w:val="20"/>
              </w:rPr>
              <w:t xml:space="preserve">"___" _______ 20__ г.</w:t>
            </w:r>
          </w:p>
        </w:tc>
      </w:tr>
      <w:tr>
        <w:tc>
          <w:tcPr>
            <w:gridSpan w:val="3"/>
            <w:tcW w:w="9071" w:type="dxa"/>
            <w:tcBorders>
              <w:top w:val="nil"/>
              <w:left w:val="nil"/>
              <w:bottom w:val="nil"/>
              <w:right w:val="nil"/>
            </w:tcBorders>
          </w:tcPr>
          <w:p>
            <w:pPr>
              <w:pStyle w:val="0"/>
              <w:jc w:val="center"/>
            </w:pPr>
            <w:r>
              <w:rPr>
                <w:sz w:val="20"/>
              </w:rPr>
              <w:t xml:space="preserve">М.П. (при наличии)</w:t>
            </w:r>
          </w:p>
        </w:tc>
      </w:tr>
    </w:tbl>
    <w:p>
      <w:pPr>
        <w:pStyle w:val="0"/>
        <w:jc w:val="both"/>
      </w:pPr>
      <w:r>
        <w:rPr>
          <w:sz w:val="20"/>
        </w:rPr>
      </w:r>
    </w:p>
    <w:p>
      <w:pPr>
        <w:pStyle w:val="0"/>
        <w:ind w:firstLine="540"/>
        <w:jc w:val="both"/>
      </w:pPr>
      <w:r>
        <w:rPr>
          <w:sz w:val="20"/>
        </w:rPr>
        <w:t xml:space="preserve">для главного бухгалтера организации/главного бухгалтера индивидуального предпринимателя</w:t>
      </w:r>
    </w:p>
    <w:p>
      <w:pPr>
        <w:pStyle w:val="0"/>
        <w:jc w:val="both"/>
      </w:pPr>
      <w:r>
        <w:rPr>
          <w:sz w:val="20"/>
        </w:rPr>
      </w:r>
    </w:p>
    <w:tbl>
      <w:tblPr>
        <w:tblInd w:w="0" w:type="dxa"/>
        <w:tblLayout w:type="fixed"/>
        <w:tblCellMar>
          <w:top w:w="102" w:type="dxa"/>
          <w:left w:w="62" w:type="dxa"/>
          <w:bottom w:w="102" w:type="dxa"/>
          <w:right w:w="62" w:type="dxa"/>
        </w:tblCellMar>
      </w:tblPr>
      <w:tblGrid>
        <w:gridCol w:w="2098"/>
        <w:gridCol w:w="4082"/>
        <w:gridCol w:w="2891"/>
      </w:tblGrid>
      <w:tr>
        <w:tc>
          <w:tcPr>
            <w:tcW w:w="2098"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082"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(Ф.И.О. полностью)</w:t>
            </w:r>
          </w:p>
        </w:tc>
        <w:tc>
          <w:tcPr>
            <w:tcW w:w="2891" w:type="dxa"/>
            <w:tcBorders>
              <w:top w:val="nil"/>
              <w:left w:val="nil"/>
              <w:bottom w:val="nil"/>
              <w:right w:val="nil"/>
            </w:tcBorders>
          </w:tcPr>
          <w:p>
            <w:pPr>
              <w:pStyle w:val="0"/>
              <w:jc w:val="center"/>
            </w:pPr>
            <w:r>
              <w:rPr>
                <w:sz w:val="20"/>
              </w:rPr>
              <w:t xml:space="preserve">"___" 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грантов в форме субсидий</w:t>
      </w:r>
    </w:p>
    <w:p>
      <w:pPr>
        <w:pStyle w:val="0"/>
        <w:jc w:val="right"/>
      </w:pPr>
      <w:r>
        <w:rPr>
          <w:sz w:val="20"/>
        </w:rPr>
        <w:t xml:space="preserve">субъектам малого и среднего предпринимательства,</w:t>
      </w:r>
    </w:p>
    <w:p>
      <w:pPr>
        <w:pStyle w:val="0"/>
        <w:jc w:val="right"/>
      </w:pPr>
      <w:r>
        <w:rPr>
          <w:sz w:val="20"/>
        </w:rPr>
        <w:t xml:space="preserve">осуществляющим деятельность в сфере</w:t>
      </w:r>
    </w:p>
    <w:p>
      <w:pPr>
        <w:pStyle w:val="0"/>
        <w:jc w:val="right"/>
      </w:pPr>
      <w:r>
        <w:rPr>
          <w:sz w:val="20"/>
        </w:rPr>
        <w:t xml:space="preserve">социального предпринимательства, и (или) субъектам малого</w:t>
      </w:r>
    </w:p>
    <w:p>
      <w:pPr>
        <w:pStyle w:val="0"/>
        <w:jc w:val="right"/>
      </w:pPr>
      <w:r>
        <w:rPr>
          <w:sz w:val="20"/>
        </w:rPr>
        <w:t xml:space="preserve">и среднего предпринимательства, созданным физическими</w:t>
      </w:r>
    </w:p>
    <w:p>
      <w:pPr>
        <w:pStyle w:val="0"/>
        <w:jc w:val="right"/>
      </w:pPr>
      <w:r>
        <w:rPr>
          <w:sz w:val="20"/>
        </w:rPr>
        <w:t xml:space="preserve">лицами в возрасте до 25 лет включительно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90" w:tooltip="Постановление Правительства Тюменской области от 20.06.2022 N 390-п &quot;О внесении изменений в постановление от 10.09.2021 N 565-п&quot; {КонсультантПлюс}">
              <w:r>
                <w:rPr>
                  <w:sz w:val="20"/>
                  <w:color w:val="0000ff"/>
                </w:rPr>
                <w:t xml:space="preserve">постановлением</w:t>
              </w:r>
            </w:hyperlink>
            <w:r>
              <w:rPr>
                <w:sz w:val="20"/>
                <w:color w:val="392c69"/>
              </w:rPr>
              <w:t xml:space="preserve"> Правительства Тюменской области</w:t>
            </w:r>
          </w:p>
          <w:p>
            <w:pPr>
              <w:pStyle w:val="0"/>
              <w:jc w:val="center"/>
            </w:pPr>
            <w:r>
              <w:rPr>
                <w:sz w:val="20"/>
                <w:color w:val="392c69"/>
              </w:rPr>
              <w:t xml:space="preserve">от 20.06.2022 N 390-п;</w:t>
            </w:r>
          </w:p>
          <w:p>
            <w:pPr>
              <w:pStyle w:val="0"/>
              <w:jc w:val="center"/>
            </w:pPr>
            <w:r>
              <w:rPr>
                <w:sz w:val="20"/>
                <w:color w:val="392c69"/>
              </w:rPr>
              <w:t xml:space="preserve">в ред. </w:t>
            </w:r>
            <w:hyperlink w:history="0" r:id="rId291" w:tooltip="Постановление Правительства Тюменской области от 20.12.2022 N 964-п &quot;О внесении изменений в постановление от 10.09.2021 N 565-п&quot; {КонсультантПлюс}">
              <w:r>
                <w:rPr>
                  <w:sz w:val="20"/>
                  <w:color w:val="0000ff"/>
                </w:rPr>
                <w:t xml:space="preserve">постановления</w:t>
              </w:r>
            </w:hyperlink>
            <w:r>
              <w:rPr>
                <w:sz w:val="20"/>
                <w:color w:val="392c69"/>
              </w:rPr>
              <w:t xml:space="preserve"> Правительства Тюменской области от 20.12.2022 N 964-п)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046" w:name="P2046"/>
    <w:bookmarkEnd w:id="2046"/>
    <w:p>
      <w:pPr>
        <w:pStyle w:val="0"/>
        <w:jc w:val="center"/>
      </w:pPr>
      <w:r>
        <w:rPr>
          <w:sz w:val="20"/>
        </w:rPr>
        <w:t xml:space="preserve">Информация о финансово-экономических показателях</w:t>
      </w:r>
    </w:p>
    <w:p>
      <w:pPr>
        <w:pStyle w:val="0"/>
        <w:jc w:val="both"/>
      </w:pPr>
      <w:r>
        <w:rPr>
          <w:sz w:val="20"/>
        </w:rPr>
      </w:r>
    </w:p>
    <w:p>
      <w:pPr>
        <w:pStyle w:val="0"/>
        <w:jc w:val="center"/>
      </w:pPr>
      <w:r>
        <w:rPr>
          <w:sz w:val="20"/>
        </w:rPr>
        <w:t xml:space="preserve">Общие сведения о субъекте малого и среднего</w:t>
      </w:r>
    </w:p>
    <w:p>
      <w:pPr>
        <w:pStyle w:val="0"/>
        <w:jc w:val="center"/>
      </w:pPr>
      <w:r>
        <w:rPr>
          <w:sz w:val="20"/>
        </w:rPr>
        <w:t xml:space="preserve">предпринимательства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6"/>
        <w:gridCol w:w="4648"/>
        <w:gridCol w:w="3685"/>
      </w:tblGrid>
      <w:tr>
        <w:tc>
          <w:tcPr>
            <w:tcW w:w="736" w:type="dxa"/>
          </w:tcPr>
          <w:p>
            <w:pPr>
              <w:pStyle w:val="0"/>
              <w:jc w:val="center"/>
            </w:pPr>
            <w:r>
              <w:rPr>
                <w:sz w:val="20"/>
              </w:rPr>
              <w:t xml:space="preserve">N п/п</w:t>
            </w:r>
          </w:p>
        </w:tc>
        <w:tc>
          <w:tcPr>
            <w:tcW w:w="4648" w:type="dxa"/>
          </w:tcPr>
          <w:p>
            <w:pPr>
              <w:pStyle w:val="0"/>
              <w:jc w:val="center"/>
            </w:pPr>
            <w:r>
              <w:rPr>
                <w:sz w:val="20"/>
              </w:rPr>
              <w:t xml:space="preserve">Наименование показателя</w:t>
            </w:r>
          </w:p>
        </w:tc>
        <w:tc>
          <w:tcPr>
            <w:tcW w:w="3685" w:type="dxa"/>
          </w:tcPr>
          <w:p>
            <w:pPr>
              <w:pStyle w:val="0"/>
              <w:jc w:val="center"/>
            </w:pPr>
            <w:r>
              <w:rPr>
                <w:sz w:val="20"/>
              </w:rPr>
              <w:t xml:space="preserve">Значение показателя</w:t>
            </w:r>
          </w:p>
        </w:tc>
      </w:tr>
      <w:tr>
        <w:tc>
          <w:tcPr>
            <w:tcW w:w="736" w:type="dxa"/>
          </w:tcPr>
          <w:p>
            <w:pPr>
              <w:pStyle w:val="0"/>
              <w:jc w:val="center"/>
            </w:pPr>
            <w:r>
              <w:rPr>
                <w:sz w:val="20"/>
              </w:rPr>
              <w:t xml:space="preserve">1</w:t>
            </w:r>
          </w:p>
        </w:tc>
        <w:tc>
          <w:tcPr>
            <w:tcW w:w="4648" w:type="dxa"/>
          </w:tcPr>
          <w:p>
            <w:pPr>
              <w:pStyle w:val="0"/>
              <w:jc w:val="center"/>
            </w:pPr>
            <w:r>
              <w:rPr>
                <w:sz w:val="20"/>
              </w:rPr>
              <w:t xml:space="preserve">2</w:t>
            </w:r>
          </w:p>
        </w:tc>
        <w:tc>
          <w:tcPr>
            <w:tcW w:w="3685" w:type="dxa"/>
          </w:tcPr>
          <w:p>
            <w:pPr>
              <w:pStyle w:val="0"/>
              <w:jc w:val="center"/>
            </w:pPr>
            <w:r>
              <w:rPr>
                <w:sz w:val="20"/>
              </w:rPr>
              <w:t xml:space="preserve">3</w:t>
            </w:r>
          </w:p>
        </w:tc>
      </w:tr>
      <w:tr>
        <w:tc>
          <w:tcPr>
            <w:tcW w:w="736" w:type="dxa"/>
          </w:tcPr>
          <w:p>
            <w:pPr>
              <w:pStyle w:val="0"/>
              <w:jc w:val="center"/>
            </w:pPr>
            <w:r>
              <w:rPr>
                <w:sz w:val="20"/>
              </w:rPr>
              <w:t xml:space="preserve">1</w:t>
            </w:r>
          </w:p>
        </w:tc>
        <w:tc>
          <w:tcPr>
            <w:tcW w:w="4648" w:type="dxa"/>
          </w:tcPr>
          <w:p>
            <w:pPr>
              <w:pStyle w:val="0"/>
            </w:pPr>
            <w:r>
              <w:rPr>
                <w:sz w:val="20"/>
              </w:rPr>
              <w:t xml:space="preserve">Полное наименование организации/ Ф.И.О. индивидуального предпринимателя</w:t>
            </w:r>
          </w:p>
        </w:tc>
        <w:tc>
          <w:tcPr>
            <w:tcW w:w="3685" w:type="dxa"/>
          </w:tcPr>
          <w:p>
            <w:pPr>
              <w:pStyle w:val="0"/>
            </w:pPr>
            <w:r>
              <w:rPr>
                <w:sz w:val="20"/>
              </w:rPr>
            </w:r>
          </w:p>
        </w:tc>
      </w:tr>
      <w:tr>
        <w:tc>
          <w:tcPr>
            <w:tcW w:w="736" w:type="dxa"/>
          </w:tcPr>
          <w:p>
            <w:pPr>
              <w:pStyle w:val="0"/>
              <w:jc w:val="center"/>
            </w:pPr>
            <w:r>
              <w:rPr>
                <w:sz w:val="20"/>
              </w:rPr>
              <w:t xml:space="preserve">2</w:t>
            </w:r>
          </w:p>
        </w:tc>
        <w:tc>
          <w:tcPr>
            <w:tcW w:w="4648" w:type="dxa"/>
          </w:tcPr>
          <w:p>
            <w:pPr>
              <w:pStyle w:val="0"/>
            </w:pPr>
            <w:r>
              <w:rPr>
                <w:sz w:val="20"/>
              </w:rPr>
              <w:t xml:space="preserve">Юридический адрес</w:t>
            </w:r>
          </w:p>
        </w:tc>
        <w:tc>
          <w:tcPr>
            <w:tcW w:w="3685" w:type="dxa"/>
          </w:tcPr>
          <w:p>
            <w:pPr>
              <w:pStyle w:val="0"/>
            </w:pPr>
            <w:r>
              <w:rPr>
                <w:sz w:val="20"/>
              </w:rPr>
            </w:r>
          </w:p>
        </w:tc>
      </w:tr>
      <w:tr>
        <w:tc>
          <w:tcPr>
            <w:tcW w:w="736" w:type="dxa"/>
          </w:tcPr>
          <w:p>
            <w:pPr>
              <w:pStyle w:val="0"/>
              <w:jc w:val="center"/>
            </w:pPr>
            <w:r>
              <w:rPr>
                <w:sz w:val="20"/>
              </w:rPr>
              <w:t xml:space="preserve">3</w:t>
            </w:r>
          </w:p>
        </w:tc>
        <w:tc>
          <w:tcPr>
            <w:tcW w:w="4648" w:type="dxa"/>
          </w:tcPr>
          <w:p>
            <w:pPr>
              <w:pStyle w:val="0"/>
            </w:pPr>
            <w:r>
              <w:rPr>
                <w:sz w:val="20"/>
              </w:rPr>
              <w:t xml:space="preserve">ИНН</w:t>
            </w:r>
          </w:p>
        </w:tc>
        <w:tc>
          <w:tcPr>
            <w:tcW w:w="3685" w:type="dxa"/>
          </w:tcPr>
          <w:p>
            <w:pPr>
              <w:pStyle w:val="0"/>
            </w:pPr>
            <w:r>
              <w:rPr>
                <w:sz w:val="20"/>
              </w:rPr>
            </w:r>
          </w:p>
        </w:tc>
      </w:tr>
      <w:tr>
        <w:tc>
          <w:tcPr>
            <w:tcW w:w="736" w:type="dxa"/>
          </w:tcPr>
          <w:p>
            <w:pPr>
              <w:pStyle w:val="0"/>
              <w:jc w:val="center"/>
            </w:pPr>
            <w:r>
              <w:rPr>
                <w:sz w:val="20"/>
              </w:rPr>
              <w:t xml:space="preserve">4</w:t>
            </w:r>
          </w:p>
        </w:tc>
        <w:tc>
          <w:tcPr>
            <w:gridSpan w:val="2"/>
            <w:tcW w:w="8333" w:type="dxa"/>
          </w:tcPr>
          <w:p>
            <w:pPr>
              <w:pStyle w:val="0"/>
            </w:pPr>
            <w:r>
              <w:rPr>
                <w:sz w:val="20"/>
              </w:rPr>
              <w:t xml:space="preserve">Сведения о руководителе организации/индивидуальном предпринимателе</w:t>
            </w:r>
          </w:p>
        </w:tc>
      </w:tr>
      <w:tr>
        <w:tc>
          <w:tcPr>
            <w:tcW w:w="736" w:type="dxa"/>
          </w:tcPr>
          <w:p>
            <w:pPr>
              <w:pStyle w:val="0"/>
              <w:jc w:val="center"/>
            </w:pPr>
            <w:r>
              <w:rPr>
                <w:sz w:val="20"/>
              </w:rPr>
              <w:t xml:space="preserve">4.1</w:t>
            </w:r>
          </w:p>
        </w:tc>
        <w:tc>
          <w:tcPr>
            <w:tcW w:w="4648" w:type="dxa"/>
          </w:tcPr>
          <w:p>
            <w:pPr>
              <w:pStyle w:val="0"/>
            </w:pPr>
            <w:r>
              <w:rPr>
                <w:sz w:val="20"/>
              </w:rPr>
              <w:t xml:space="preserve">Ф.И.О. руководителя организации/ Ф.И.О. индивидуального предпринимателя</w:t>
            </w:r>
          </w:p>
        </w:tc>
        <w:tc>
          <w:tcPr>
            <w:tcW w:w="3685" w:type="dxa"/>
          </w:tcPr>
          <w:p>
            <w:pPr>
              <w:pStyle w:val="0"/>
            </w:pPr>
            <w:r>
              <w:rPr>
                <w:sz w:val="20"/>
              </w:rPr>
            </w:r>
          </w:p>
        </w:tc>
      </w:tr>
      <w:tr>
        <w:tc>
          <w:tcPr>
            <w:tcW w:w="736" w:type="dxa"/>
          </w:tcPr>
          <w:p>
            <w:pPr>
              <w:pStyle w:val="0"/>
              <w:jc w:val="center"/>
            </w:pPr>
            <w:r>
              <w:rPr>
                <w:sz w:val="20"/>
              </w:rPr>
              <w:t xml:space="preserve">4.2</w:t>
            </w:r>
          </w:p>
        </w:tc>
        <w:tc>
          <w:tcPr>
            <w:tcW w:w="4648" w:type="dxa"/>
          </w:tcPr>
          <w:p>
            <w:pPr>
              <w:pStyle w:val="0"/>
            </w:pPr>
            <w:r>
              <w:rPr>
                <w:sz w:val="20"/>
              </w:rPr>
              <w:t xml:space="preserve">Контактный телефон</w:t>
            </w:r>
          </w:p>
        </w:tc>
        <w:tc>
          <w:tcPr>
            <w:tcW w:w="3685" w:type="dxa"/>
          </w:tcPr>
          <w:p>
            <w:pPr>
              <w:pStyle w:val="0"/>
            </w:pPr>
            <w:r>
              <w:rPr>
                <w:sz w:val="20"/>
              </w:rPr>
            </w:r>
          </w:p>
        </w:tc>
      </w:tr>
      <w:tr>
        <w:tc>
          <w:tcPr>
            <w:tcW w:w="736" w:type="dxa"/>
          </w:tcPr>
          <w:p>
            <w:pPr>
              <w:pStyle w:val="0"/>
              <w:jc w:val="center"/>
            </w:pPr>
            <w:r>
              <w:rPr>
                <w:sz w:val="20"/>
              </w:rPr>
              <w:t xml:space="preserve">4.3</w:t>
            </w:r>
          </w:p>
        </w:tc>
        <w:tc>
          <w:tcPr>
            <w:tcW w:w="4648" w:type="dxa"/>
          </w:tcPr>
          <w:p>
            <w:pPr>
              <w:pStyle w:val="0"/>
            </w:pPr>
            <w:r>
              <w:rPr>
                <w:sz w:val="20"/>
              </w:rPr>
              <w:t xml:space="preserve">Электронная почта</w:t>
            </w:r>
          </w:p>
        </w:tc>
        <w:tc>
          <w:tcPr>
            <w:tcW w:w="3685" w:type="dxa"/>
          </w:tcPr>
          <w:p>
            <w:pPr>
              <w:pStyle w:val="0"/>
            </w:pPr>
            <w:r>
              <w:rPr>
                <w:sz w:val="20"/>
              </w:rPr>
            </w:r>
          </w:p>
        </w:tc>
      </w:tr>
      <w:tr>
        <w:tc>
          <w:tcPr>
            <w:gridSpan w:val="2"/>
            <w:tcW w:w="5384" w:type="dxa"/>
          </w:tcPr>
          <w:p>
            <w:pPr>
              <w:pStyle w:val="0"/>
              <w:jc w:val="center"/>
            </w:pPr>
            <w:r>
              <w:rPr>
                <w:sz w:val="20"/>
              </w:rPr>
              <w:t xml:space="preserve">Основные финансово-экономические показатели</w:t>
            </w:r>
          </w:p>
        </w:tc>
        <w:tc>
          <w:tcPr>
            <w:tcW w:w="3685" w:type="dxa"/>
          </w:tcPr>
          <w:p>
            <w:pPr>
              <w:pStyle w:val="0"/>
            </w:pPr>
            <w:r>
              <w:rPr>
                <w:sz w:val="20"/>
              </w:rPr>
            </w:r>
          </w:p>
        </w:tc>
      </w:tr>
      <w:tr>
        <w:tc>
          <w:tcPr>
            <w:tcW w:w="736" w:type="dxa"/>
          </w:tcPr>
          <w:p>
            <w:pPr>
              <w:pStyle w:val="0"/>
              <w:jc w:val="center"/>
            </w:pPr>
            <w:r>
              <w:rPr>
                <w:sz w:val="20"/>
              </w:rPr>
              <w:t xml:space="preserve">5</w:t>
            </w:r>
          </w:p>
        </w:tc>
        <w:tc>
          <w:tcPr>
            <w:tcW w:w="4648" w:type="dxa"/>
          </w:tcPr>
          <w:p>
            <w:pPr>
              <w:pStyle w:val="0"/>
              <w:jc w:val="both"/>
            </w:pPr>
            <w:r>
              <w:rPr>
                <w:sz w:val="20"/>
              </w:rPr>
              <w:t xml:space="preserve">Доход, полученный от осуществления предпринимательской деятельности </w:t>
            </w:r>
            <w:hyperlink w:history="0" w:anchor="P2096" w:tooltip="&lt;1&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w:r>
                <w:rPr>
                  <w:sz w:val="20"/>
                  <w:color w:val="0000ff"/>
                </w:rPr>
                <w:t xml:space="preserve">&lt;1&gt;</w:t>
              </w:r>
            </w:hyperlink>
            <w:r>
              <w:rPr>
                <w:sz w:val="20"/>
              </w:rPr>
              <w:t xml:space="preserve">, рублей</w:t>
            </w:r>
          </w:p>
        </w:tc>
        <w:tc>
          <w:tcPr>
            <w:tcW w:w="3685" w:type="dxa"/>
          </w:tcPr>
          <w:p>
            <w:pPr>
              <w:pStyle w:val="0"/>
            </w:pPr>
            <w:r>
              <w:rPr>
                <w:sz w:val="20"/>
              </w:rPr>
            </w:r>
          </w:p>
        </w:tc>
      </w:tr>
      <w:tr>
        <w:tc>
          <w:tcPr>
            <w:tcW w:w="736" w:type="dxa"/>
          </w:tcPr>
          <w:p>
            <w:pPr>
              <w:pStyle w:val="0"/>
              <w:jc w:val="center"/>
            </w:pPr>
            <w:r>
              <w:rPr>
                <w:sz w:val="20"/>
              </w:rPr>
              <w:t xml:space="preserve">6</w:t>
            </w:r>
          </w:p>
        </w:tc>
        <w:tc>
          <w:tcPr>
            <w:tcW w:w="4648" w:type="dxa"/>
          </w:tcPr>
          <w:p>
            <w:pPr>
              <w:pStyle w:val="0"/>
              <w:jc w:val="both"/>
            </w:pPr>
            <w:r>
              <w:rPr>
                <w:sz w:val="20"/>
              </w:rPr>
              <w:t xml:space="preserve">Объем налогов и сборов, уплаченных в бюджетную систему Российской Федерации, руб.</w:t>
            </w:r>
          </w:p>
        </w:tc>
        <w:tc>
          <w:tcPr>
            <w:tcW w:w="3685" w:type="dxa"/>
          </w:tcPr>
          <w:p>
            <w:pPr>
              <w:pStyle w:val="0"/>
            </w:pPr>
            <w:r>
              <w:rPr>
                <w:sz w:val="20"/>
              </w:rPr>
            </w:r>
          </w:p>
        </w:tc>
      </w:tr>
      <w:tr>
        <w:tc>
          <w:tcPr>
            <w:tcW w:w="736" w:type="dxa"/>
          </w:tcPr>
          <w:p>
            <w:pPr>
              <w:pStyle w:val="0"/>
              <w:jc w:val="center"/>
            </w:pPr>
            <w:r>
              <w:rPr>
                <w:sz w:val="20"/>
              </w:rPr>
              <w:t xml:space="preserve">7</w:t>
            </w:r>
          </w:p>
        </w:tc>
        <w:tc>
          <w:tcPr>
            <w:tcW w:w="4648" w:type="dxa"/>
          </w:tcPr>
          <w:p>
            <w:pPr>
              <w:pStyle w:val="0"/>
              <w:jc w:val="both"/>
            </w:pPr>
            <w:r>
              <w:rPr>
                <w:sz w:val="20"/>
              </w:rPr>
              <w:t xml:space="preserve">Объем инвестиций в основной капитал, руб.</w:t>
            </w:r>
          </w:p>
        </w:tc>
        <w:tc>
          <w:tcPr>
            <w:tcW w:w="3685" w:type="dxa"/>
          </w:tcPr>
          <w:p>
            <w:pPr>
              <w:pStyle w:val="0"/>
            </w:pPr>
            <w:r>
              <w:rPr>
                <w:sz w:val="20"/>
              </w:rPr>
            </w:r>
          </w:p>
        </w:tc>
      </w:tr>
      <w:tr>
        <w:tc>
          <w:tcPr>
            <w:tcW w:w="736" w:type="dxa"/>
          </w:tcPr>
          <w:p>
            <w:pPr>
              <w:pStyle w:val="0"/>
              <w:jc w:val="center"/>
            </w:pPr>
            <w:r>
              <w:rPr>
                <w:sz w:val="20"/>
              </w:rPr>
              <w:t xml:space="preserve">8</w:t>
            </w:r>
          </w:p>
        </w:tc>
        <w:tc>
          <w:tcPr>
            <w:tcW w:w="4648" w:type="dxa"/>
          </w:tcPr>
          <w:p>
            <w:pPr>
              <w:pStyle w:val="0"/>
              <w:jc w:val="both"/>
            </w:pPr>
            <w:r>
              <w:rPr>
                <w:sz w:val="20"/>
              </w:rPr>
              <w:t xml:space="preserve">Отгружено товаров собственного производства (выполнено работ и услуг собственными силами), руб. </w:t>
            </w:r>
            <w:hyperlink w:history="0" w:anchor="P2097" w:tooltip="&lt;2&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
              <w:r>
                <w:rPr>
                  <w:sz w:val="20"/>
                  <w:color w:val="0000ff"/>
                </w:rPr>
                <w:t xml:space="preserve">&lt;2&gt;</w:t>
              </w:r>
            </w:hyperlink>
          </w:p>
        </w:tc>
        <w:tc>
          <w:tcPr>
            <w:tcW w:w="3685" w:type="dxa"/>
          </w:tcPr>
          <w:p>
            <w:pPr>
              <w:pStyle w:val="0"/>
            </w:pPr>
            <w:r>
              <w:rPr>
                <w:sz w:val="20"/>
              </w:rPr>
            </w:r>
          </w:p>
        </w:tc>
      </w:tr>
      <w:tr>
        <w:tc>
          <w:tcPr>
            <w:tcW w:w="736" w:type="dxa"/>
          </w:tcPr>
          <w:p>
            <w:pPr>
              <w:pStyle w:val="0"/>
              <w:jc w:val="center"/>
            </w:pPr>
            <w:r>
              <w:rPr>
                <w:sz w:val="20"/>
              </w:rPr>
              <w:t xml:space="preserve">9</w:t>
            </w:r>
          </w:p>
        </w:tc>
        <w:tc>
          <w:tcPr>
            <w:tcW w:w="4648" w:type="dxa"/>
          </w:tcPr>
          <w:p>
            <w:pPr>
              <w:pStyle w:val="0"/>
              <w:jc w:val="both"/>
            </w:pPr>
            <w:r>
              <w:rPr>
                <w:sz w:val="20"/>
              </w:rPr>
              <w:t xml:space="preserve">Среднесписочная численность работников, чел.</w:t>
            </w:r>
          </w:p>
        </w:tc>
        <w:tc>
          <w:tcPr>
            <w:tcW w:w="368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096" w:name="P2096"/>
    <w:bookmarkEnd w:id="2096"/>
    <w:p>
      <w:pPr>
        <w:pStyle w:val="0"/>
        <w:spacing w:before="200" w:line-rule="auto"/>
        <w:ind w:firstLine="540"/>
        <w:jc w:val="both"/>
      </w:pPr>
      <w:r>
        <w:rPr>
          <w:sz w:val="20"/>
        </w:rPr>
        <w:t xml:space="preserve">&lt;1&gt; Доход субъекта малого и среднего предпринимательства, полученный от осуществления предпринимательской деятельности,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bookmarkStart w:id="2097" w:name="P2097"/>
    <w:bookmarkEnd w:id="2097"/>
    <w:p>
      <w:pPr>
        <w:pStyle w:val="0"/>
        <w:spacing w:before="200" w:line-rule="auto"/>
        <w:ind w:firstLine="540"/>
        <w:jc w:val="both"/>
      </w:pPr>
      <w:r>
        <w:rPr>
          <w:sz w:val="20"/>
        </w:rPr>
        <w:t xml:space="preserve">&lt;2&gt; Отгружено товаров собственного производства, выполнено работ, оказано услуг собственными силами -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10.09.2021 N 565-п</w:t>
            <w:br/>
            <w:t>(ред. от 09.10.2023)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10.09.2021 N 565-п</w:t>
            <w:br/>
            <w:t>(ред. от 09.10.2023)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6&amp;n=205924&amp;dst=100004" TargetMode = "External"/>
	<Relationship Id="rId8" Type="http://schemas.openxmlformats.org/officeDocument/2006/relationships/hyperlink" Target="https://login.consultant.ru/link/?req=doc&amp;base=RLAW026&amp;n=181209&amp;dst=100004" TargetMode = "External"/>
	<Relationship Id="rId9" Type="http://schemas.openxmlformats.org/officeDocument/2006/relationships/hyperlink" Target="https://login.consultant.ru/link/?req=doc&amp;base=RLAW026&amp;n=185667&amp;dst=100004" TargetMode = "External"/>
	<Relationship Id="rId10" Type="http://schemas.openxmlformats.org/officeDocument/2006/relationships/hyperlink" Target="https://login.consultant.ru/link/?req=doc&amp;base=RLAW026&amp;n=194529&amp;dst=100004" TargetMode = "External"/>
	<Relationship Id="rId11" Type="http://schemas.openxmlformats.org/officeDocument/2006/relationships/hyperlink" Target="https://login.consultant.ru/link/?req=doc&amp;base=RLAW026&amp;n=205808&amp;dst=100004" TargetMode = "External"/>
	<Relationship Id="rId12" Type="http://schemas.openxmlformats.org/officeDocument/2006/relationships/hyperlink" Target="https://login.consultant.ru/link/?req=doc&amp;base=LAW&amp;n=464169&amp;dst=100160" TargetMode = "External"/>
	<Relationship Id="rId13" Type="http://schemas.openxmlformats.org/officeDocument/2006/relationships/hyperlink" Target="https://login.consultant.ru/link/?req=doc&amp;base=LAW&amp;n=435381&amp;dst=10" TargetMode = "External"/>
	<Relationship Id="rId14" Type="http://schemas.openxmlformats.org/officeDocument/2006/relationships/hyperlink" Target="https://login.consultant.ru/link/?req=doc&amp;base=RLAW026&amp;n=208775&amp;dst=112808" TargetMode = "External"/>
	<Relationship Id="rId15" Type="http://schemas.openxmlformats.org/officeDocument/2006/relationships/hyperlink" Target="https://login.consultant.ru/link/?req=doc&amp;base=RLAW026&amp;n=185667&amp;dst=100005" TargetMode = "External"/>
	<Relationship Id="rId16" Type="http://schemas.openxmlformats.org/officeDocument/2006/relationships/hyperlink" Target="https://login.consultant.ru/link/?req=doc&amp;base=RLAW026&amp;n=194529&amp;dst=100005" TargetMode = "External"/>
	<Relationship Id="rId17" Type="http://schemas.openxmlformats.org/officeDocument/2006/relationships/hyperlink" Target="https://login.consultant.ru/link/?req=doc&amp;base=RLAW026&amp;n=185667&amp;dst=100006" TargetMode = "External"/>
	<Relationship Id="rId18" Type="http://schemas.openxmlformats.org/officeDocument/2006/relationships/hyperlink" Target="https://login.consultant.ru/link/?req=doc&amp;base=RLAW026&amp;n=205924&amp;dst=100004" TargetMode = "External"/>
	<Relationship Id="rId19" Type="http://schemas.openxmlformats.org/officeDocument/2006/relationships/hyperlink" Target="https://login.consultant.ru/link/?req=doc&amp;base=RLAW026&amp;n=181209&amp;dst=100004" TargetMode = "External"/>
	<Relationship Id="rId20" Type="http://schemas.openxmlformats.org/officeDocument/2006/relationships/hyperlink" Target="https://login.consultant.ru/link/?req=doc&amp;base=RLAW026&amp;n=185667&amp;dst=100005" TargetMode = "External"/>
	<Relationship Id="rId21" Type="http://schemas.openxmlformats.org/officeDocument/2006/relationships/hyperlink" Target="https://login.consultant.ru/link/?req=doc&amp;base=RLAW026&amp;n=194529&amp;dst=100005" TargetMode = "External"/>
	<Relationship Id="rId22" Type="http://schemas.openxmlformats.org/officeDocument/2006/relationships/hyperlink" Target="https://login.consultant.ru/link/?req=doc&amp;base=RLAW026&amp;n=205808&amp;dst=100004" TargetMode = "External"/>
	<Relationship Id="rId23" Type="http://schemas.openxmlformats.org/officeDocument/2006/relationships/hyperlink" Target="https://login.consultant.ru/link/?req=doc&amp;base=RLAW026&amp;n=205808&amp;dst=100006" TargetMode = "External"/>
	<Relationship Id="rId24" Type="http://schemas.openxmlformats.org/officeDocument/2006/relationships/hyperlink" Target="https://login.consultant.ru/link/?req=doc&amp;base=LAW&amp;n=465808&amp;dst=4777" TargetMode = "External"/>
	<Relationship Id="rId25" Type="http://schemas.openxmlformats.org/officeDocument/2006/relationships/hyperlink" Target="https://login.consultant.ru/link/?req=doc&amp;base=LAW&amp;n=464169&amp;dst=100160" TargetMode = "External"/>
	<Relationship Id="rId26" Type="http://schemas.openxmlformats.org/officeDocument/2006/relationships/hyperlink" Target="https://login.consultant.ru/link/?req=doc&amp;base=LAW&amp;n=435381&amp;dst=10" TargetMode = "External"/>
	<Relationship Id="rId27" Type="http://schemas.openxmlformats.org/officeDocument/2006/relationships/hyperlink" Target="https://login.consultant.ru/link/?req=doc&amp;base=RLAW026&amp;n=205254&amp;dst=100157" TargetMode = "External"/>
	<Relationship Id="rId28" Type="http://schemas.openxmlformats.org/officeDocument/2006/relationships/hyperlink" Target="https://login.consultant.ru/link/?req=doc&amp;base=LAW&amp;n=466161&amp;dst=101058" TargetMode = "External"/>
	<Relationship Id="rId29" Type="http://schemas.openxmlformats.org/officeDocument/2006/relationships/hyperlink" Target="https://login.consultant.ru/link/?req=doc&amp;base=RLAW026&amp;n=208775&amp;dst=112808" TargetMode = "External"/>
	<Relationship Id="rId30" Type="http://schemas.openxmlformats.org/officeDocument/2006/relationships/hyperlink" Target="https://login.consultant.ru/link/?req=doc&amp;base=RLAW026&amp;n=185667&amp;dst=100005" TargetMode = "External"/>
	<Relationship Id="rId31" Type="http://schemas.openxmlformats.org/officeDocument/2006/relationships/hyperlink" Target="https://login.consultant.ru/link/?req=doc&amp;base=RLAW026&amp;n=194529&amp;dst=100005" TargetMode = "External"/>
	<Relationship Id="rId32" Type="http://schemas.openxmlformats.org/officeDocument/2006/relationships/hyperlink" Target="https://login.consultant.ru/link/?req=doc&amp;base=RLAW026&amp;n=205924&amp;dst=100005" TargetMode = "External"/>
	<Relationship Id="rId33" Type="http://schemas.openxmlformats.org/officeDocument/2006/relationships/hyperlink" Target="https://login.consultant.ru/link/?req=doc&amp;base=LAW&amp;n=464169" TargetMode = "External"/>
	<Relationship Id="rId34" Type="http://schemas.openxmlformats.org/officeDocument/2006/relationships/hyperlink" Target="https://login.consultant.ru/link/?req=doc&amp;base=RLAW026&amp;n=185667&amp;dst=100009" TargetMode = "External"/>
	<Relationship Id="rId35" Type="http://schemas.openxmlformats.org/officeDocument/2006/relationships/hyperlink" Target="https://login.consultant.ru/link/?req=doc&amp;base=LAW&amp;n=464169&amp;dst=232" TargetMode = "External"/>
	<Relationship Id="rId36" Type="http://schemas.openxmlformats.org/officeDocument/2006/relationships/hyperlink" Target="https://login.consultant.ru/link/?req=doc&amp;base=LAW&amp;n=466161&amp;dst=101060" TargetMode = "External"/>
	<Relationship Id="rId37" Type="http://schemas.openxmlformats.org/officeDocument/2006/relationships/hyperlink" Target="https://login.consultant.ru/link/?req=doc&amp;base=RLAW026&amp;n=194529&amp;dst=100007" TargetMode = "External"/>
	<Relationship Id="rId38" Type="http://schemas.openxmlformats.org/officeDocument/2006/relationships/hyperlink" Target="https://login.consultant.ru/link/?req=doc&amp;base=RLAW026&amp;n=185667&amp;dst=100012" TargetMode = "External"/>
	<Relationship Id="rId39" Type="http://schemas.openxmlformats.org/officeDocument/2006/relationships/hyperlink" Target="https://login.consultant.ru/link/?req=doc&amp;base=RLAW026&amp;n=185667&amp;dst=100014" TargetMode = "External"/>
	<Relationship Id="rId40" Type="http://schemas.openxmlformats.org/officeDocument/2006/relationships/hyperlink" Target="https://login.consultant.ru/link/?req=doc&amp;base=RLAW026&amp;n=185667&amp;dst=100015" TargetMode = "External"/>
	<Relationship Id="rId41" Type="http://schemas.openxmlformats.org/officeDocument/2006/relationships/hyperlink" Target="https://login.consultant.ru/link/?req=doc&amp;base=RLAW026&amp;n=194529&amp;dst=100009" TargetMode = "External"/>
	<Relationship Id="rId42" Type="http://schemas.openxmlformats.org/officeDocument/2006/relationships/hyperlink" Target="https://login.consultant.ru/link/?req=doc&amp;base=RLAW026&amp;n=205808&amp;dst=100007" TargetMode = "External"/>
	<Relationship Id="rId43" Type="http://schemas.openxmlformats.org/officeDocument/2006/relationships/hyperlink" Target="https://login.consultant.ru/link/?req=doc&amp;base=RLAW026&amp;n=205924&amp;dst=100006" TargetMode = "External"/>
	<Relationship Id="rId44" Type="http://schemas.openxmlformats.org/officeDocument/2006/relationships/hyperlink" Target="https://login.consultant.ru/link/?req=doc&amp;base=RLAW026&amp;n=205808&amp;dst=100005" TargetMode = "External"/>
	<Relationship Id="rId45" Type="http://schemas.openxmlformats.org/officeDocument/2006/relationships/hyperlink" Target="https://login.consultant.ru/link/?req=doc&amp;base=RLAW026&amp;n=185667&amp;dst=100015" TargetMode = "External"/>
	<Relationship Id="rId46" Type="http://schemas.openxmlformats.org/officeDocument/2006/relationships/hyperlink" Target="https://login.consultant.ru/link/?req=doc&amp;base=RLAW026&amp;n=194529&amp;dst=100011" TargetMode = "External"/>
	<Relationship Id="rId47" Type="http://schemas.openxmlformats.org/officeDocument/2006/relationships/hyperlink" Target="https://login.consultant.ru/link/?req=doc&amp;base=RLAW026&amp;n=205808&amp;dst=100008" TargetMode = "External"/>
	<Relationship Id="rId48" Type="http://schemas.openxmlformats.org/officeDocument/2006/relationships/hyperlink" Target="https://login.consultant.ru/link/?req=doc&amp;base=RLAW026&amp;n=194529&amp;dst=100013" TargetMode = "External"/>
	<Relationship Id="rId49" Type="http://schemas.openxmlformats.org/officeDocument/2006/relationships/hyperlink" Target="https://login.consultant.ru/link/?req=doc&amp;base=RLAW026&amp;n=205808&amp;dst=100009" TargetMode = "External"/>
	<Relationship Id="rId50" Type="http://schemas.openxmlformats.org/officeDocument/2006/relationships/hyperlink" Target="https://login.consultant.ru/link/?req=doc&amp;base=RLAW026&amp;n=205924&amp;dst=100009" TargetMode = "External"/>
	<Relationship Id="rId51" Type="http://schemas.openxmlformats.org/officeDocument/2006/relationships/hyperlink" Target="https://login.consultant.ru/link/?req=doc&amp;base=RLAW026&amp;n=205924&amp;dst=100011" TargetMode = "External"/>
	<Relationship Id="rId52" Type="http://schemas.openxmlformats.org/officeDocument/2006/relationships/hyperlink" Target="https://login.consultant.ru/link/?req=doc&amp;base=RLAW026&amp;n=205808&amp;dst=100011" TargetMode = "External"/>
	<Relationship Id="rId53" Type="http://schemas.openxmlformats.org/officeDocument/2006/relationships/hyperlink" Target="https://login.consultant.ru/link/?req=doc&amp;base=RLAW026&amp;n=205924&amp;dst=100013" TargetMode = "External"/>
	<Relationship Id="rId54" Type="http://schemas.openxmlformats.org/officeDocument/2006/relationships/hyperlink" Target="https://login.consultant.ru/link/?req=doc&amp;base=RLAW026&amp;n=205924&amp;dst=100013" TargetMode = "External"/>
	<Relationship Id="rId55" Type="http://schemas.openxmlformats.org/officeDocument/2006/relationships/hyperlink" Target="https://login.consultant.ru/link/?req=doc&amp;base=RLAW026&amp;n=205924&amp;dst=100013" TargetMode = "External"/>
	<Relationship Id="rId56" Type="http://schemas.openxmlformats.org/officeDocument/2006/relationships/hyperlink" Target="https://login.consultant.ru/link/?req=doc&amp;base=RLAW026&amp;n=205808&amp;dst=100012" TargetMode = "External"/>
	<Relationship Id="rId57" Type="http://schemas.openxmlformats.org/officeDocument/2006/relationships/hyperlink" Target="https://login.consultant.ru/link/?req=doc&amp;base=RLAW026&amp;n=205924&amp;dst=100015" TargetMode = "External"/>
	<Relationship Id="rId58" Type="http://schemas.openxmlformats.org/officeDocument/2006/relationships/hyperlink" Target="https://login.consultant.ru/link/?req=doc&amp;base=RLAW026&amp;n=205924&amp;dst=100013" TargetMode = "External"/>
	<Relationship Id="rId59" Type="http://schemas.openxmlformats.org/officeDocument/2006/relationships/hyperlink" Target="https://login.consultant.ru/link/?req=doc&amp;base=RLAW026&amp;n=205924&amp;dst=100013" TargetMode = "External"/>
	<Relationship Id="rId60" Type="http://schemas.openxmlformats.org/officeDocument/2006/relationships/hyperlink" Target="https://login.consultant.ru/link/?req=doc&amp;base=RLAW026&amp;n=205924&amp;dst=100013" TargetMode = "External"/>
	<Relationship Id="rId61" Type="http://schemas.openxmlformats.org/officeDocument/2006/relationships/hyperlink" Target="https://login.consultant.ru/link/?req=doc&amp;base=RLAW026&amp;n=205924&amp;dst=100013" TargetMode = "External"/>
	<Relationship Id="rId62" Type="http://schemas.openxmlformats.org/officeDocument/2006/relationships/hyperlink" Target="https://login.consultant.ru/link/?req=doc&amp;base=RLAW026&amp;n=205924&amp;dst=100013" TargetMode = "External"/>
	<Relationship Id="rId63" Type="http://schemas.openxmlformats.org/officeDocument/2006/relationships/hyperlink" Target="https://login.consultant.ru/link/?req=doc&amp;base=RLAW026&amp;n=205924&amp;dst=100013" TargetMode = "External"/>
	<Relationship Id="rId64" Type="http://schemas.openxmlformats.org/officeDocument/2006/relationships/hyperlink" Target="https://login.consultant.ru/link/?req=doc&amp;base=RLAW026&amp;n=205808&amp;dst=100013" TargetMode = "External"/>
	<Relationship Id="rId65" Type="http://schemas.openxmlformats.org/officeDocument/2006/relationships/hyperlink" Target="https://login.consultant.ru/link/?req=doc&amp;base=RLAW026&amp;n=205924&amp;dst=100013" TargetMode = "External"/>
	<Relationship Id="rId66" Type="http://schemas.openxmlformats.org/officeDocument/2006/relationships/hyperlink" Target="https://login.consultant.ru/link/?req=doc&amp;base=RLAW026&amp;n=205808&amp;dst=100014" TargetMode = "External"/>
	<Relationship Id="rId67" Type="http://schemas.openxmlformats.org/officeDocument/2006/relationships/hyperlink" Target="https://login.consultant.ru/link/?req=doc&amp;base=RLAW026&amp;n=205924&amp;dst=100013" TargetMode = "External"/>
	<Relationship Id="rId68" Type="http://schemas.openxmlformats.org/officeDocument/2006/relationships/hyperlink" Target="https://login.consultant.ru/link/?req=doc&amp;base=RLAW026&amp;n=205924&amp;dst=100017" TargetMode = "External"/>
	<Relationship Id="rId69" Type="http://schemas.openxmlformats.org/officeDocument/2006/relationships/hyperlink" Target="https://login.consultant.ru/link/?req=doc&amp;base=RLAW026&amp;n=205808&amp;dst=100005" TargetMode = "External"/>
	<Relationship Id="rId70" Type="http://schemas.openxmlformats.org/officeDocument/2006/relationships/hyperlink" Target="https://login.consultant.ru/link/?req=doc&amp;base=RLAW026&amp;n=185667&amp;dst=100031" TargetMode = "External"/>
	<Relationship Id="rId71" Type="http://schemas.openxmlformats.org/officeDocument/2006/relationships/hyperlink" Target="https://login.consultant.ru/link/?req=doc&amp;base=RLAW026&amp;n=194529&amp;dst=100015" TargetMode = "External"/>
	<Relationship Id="rId72" Type="http://schemas.openxmlformats.org/officeDocument/2006/relationships/hyperlink" Target="https://login.consultant.ru/link/?req=doc&amp;base=RLAW026&amp;n=205808&amp;dst=100020" TargetMode = "External"/>
	<Relationship Id="rId73" Type="http://schemas.openxmlformats.org/officeDocument/2006/relationships/hyperlink" Target="https://login.consultant.ru/link/?req=doc&amp;base=RLAW026&amp;n=205808&amp;dst=100021" TargetMode = "External"/>
	<Relationship Id="rId74" Type="http://schemas.openxmlformats.org/officeDocument/2006/relationships/hyperlink" Target="https://login.consultant.ru/link/?req=doc&amp;base=RLAW026&amp;n=181209&amp;dst=100005" TargetMode = "External"/>
	<Relationship Id="rId75" Type="http://schemas.openxmlformats.org/officeDocument/2006/relationships/hyperlink" Target="https://login.consultant.ru/link/?req=doc&amp;base=RLAW026&amp;n=205808&amp;dst=100022" TargetMode = "External"/>
	<Relationship Id="rId76" Type="http://schemas.openxmlformats.org/officeDocument/2006/relationships/hyperlink" Target="https://login.consultant.ru/link/?req=doc&amp;base=RLAW026&amp;n=181209&amp;dst=100005" TargetMode = "External"/>
	<Relationship Id="rId77" Type="http://schemas.openxmlformats.org/officeDocument/2006/relationships/hyperlink" Target="https://login.consultant.ru/link/?req=doc&amp;base=RLAW026&amp;n=181209&amp;dst=100005" TargetMode = "External"/>
	<Relationship Id="rId78" Type="http://schemas.openxmlformats.org/officeDocument/2006/relationships/hyperlink" Target="https://login.consultant.ru/link/?req=doc&amp;base=RLAW026&amp;n=205808&amp;dst=100023" TargetMode = "External"/>
	<Relationship Id="rId79" Type="http://schemas.openxmlformats.org/officeDocument/2006/relationships/hyperlink" Target="https://login.consultant.ru/link/?req=doc&amp;base=RLAW026&amp;n=205808&amp;dst=100024" TargetMode = "External"/>
	<Relationship Id="rId80" Type="http://schemas.openxmlformats.org/officeDocument/2006/relationships/hyperlink" Target="https://login.consultant.ru/link/?req=doc&amp;base=RLAW026&amp;n=181209&amp;dst=100005" TargetMode = "External"/>
	<Relationship Id="rId81" Type="http://schemas.openxmlformats.org/officeDocument/2006/relationships/hyperlink" Target="https://login.consultant.ru/link/?req=doc&amp;base=RLAW026&amp;n=185667&amp;dst=100034" TargetMode = "External"/>
	<Relationship Id="rId82" Type="http://schemas.openxmlformats.org/officeDocument/2006/relationships/hyperlink" Target="https://login.consultant.ru/link/?req=doc&amp;base=RLAW026&amp;n=205808&amp;dst=100026" TargetMode = "External"/>
	<Relationship Id="rId83" Type="http://schemas.openxmlformats.org/officeDocument/2006/relationships/hyperlink" Target="https://login.consultant.ru/link/?req=doc&amp;base=RLAW026&amp;n=181209&amp;dst=100005" TargetMode = "External"/>
	<Relationship Id="rId84" Type="http://schemas.openxmlformats.org/officeDocument/2006/relationships/hyperlink" Target="https://login.consultant.ru/link/?req=doc&amp;base=LAW&amp;n=464169&amp;dst=100138" TargetMode = "External"/>
	<Relationship Id="rId85" Type="http://schemas.openxmlformats.org/officeDocument/2006/relationships/hyperlink" Target="https://login.consultant.ru/link/?req=doc&amp;base=LAW&amp;n=464169&amp;dst=100144" TargetMode = "External"/>
	<Relationship Id="rId86" Type="http://schemas.openxmlformats.org/officeDocument/2006/relationships/hyperlink" Target="https://login.consultant.ru/link/?req=doc&amp;base=RLAW026&amp;n=181209&amp;dst=100005" TargetMode = "External"/>
	<Relationship Id="rId87" Type="http://schemas.openxmlformats.org/officeDocument/2006/relationships/hyperlink" Target="https://login.consultant.ru/link/?req=doc&amp;base=LAW&amp;n=464169&amp;dst=232" TargetMode = "External"/>
	<Relationship Id="rId88" Type="http://schemas.openxmlformats.org/officeDocument/2006/relationships/hyperlink" Target="https://login.consultant.ru/link/?req=doc&amp;base=RLAW026&amp;n=185667&amp;dst=100035" TargetMode = "External"/>
	<Relationship Id="rId89" Type="http://schemas.openxmlformats.org/officeDocument/2006/relationships/hyperlink" Target="https://login.consultant.ru/link/?req=doc&amp;base=RLAW026&amp;n=181209&amp;dst=100005" TargetMode = "External"/>
	<Relationship Id="rId90" Type="http://schemas.openxmlformats.org/officeDocument/2006/relationships/hyperlink" Target="https://login.consultant.ru/link/?req=doc&amp;base=RLAW026&amp;n=205808&amp;dst=100027" TargetMode = "External"/>
	<Relationship Id="rId91" Type="http://schemas.openxmlformats.org/officeDocument/2006/relationships/hyperlink" Target="https://login.consultant.ru/link/?req=doc&amp;base=RLAW026&amp;n=181209&amp;dst=100005" TargetMode = "External"/>
	<Relationship Id="rId92" Type="http://schemas.openxmlformats.org/officeDocument/2006/relationships/hyperlink" Target="https://login.consultant.ru/link/?req=doc&amp;base=RLAW026&amp;n=194529&amp;dst=100016" TargetMode = "External"/>
	<Relationship Id="rId93" Type="http://schemas.openxmlformats.org/officeDocument/2006/relationships/hyperlink" Target="https://login.consultant.ru/link/?req=doc&amp;base=RLAW026&amp;n=205808&amp;dst=100030" TargetMode = "External"/>
	<Relationship Id="rId94" Type="http://schemas.openxmlformats.org/officeDocument/2006/relationships/hyperlink" Target="https://login.consultant.ru/link/?req=doc&amp;base=RLAW026&amp;n=205808&amp;dst=100031" TargetMode = "External"/>
	<Relationship Id="rId95" Type="http://schemas.openxmlformats.org/officeDocument/2006/relationships/hyperlink" Target="https://login.consultant.ru/link/?req=doc&amp;base=RLAW026&amp;n=185667&amp;dst=100036" TargetMode = "External"/>
	<Relationship Id="rId96" Type="http://schemas.openxmlformats.org/officeDocument/2006/relationships/hyperlink" Target="https://login.consultant.ru/link/?req=doc&amp;base=RLAW026&amp;n=185667&amp;dst=100036" TargetMode = "External"/>
	<Relationship Id="rId97" Type="http://schemas.openxmlformats.org/officeDocument/2006/relationships/hyperlink" Target="https://login.consultant.ru/link/?req=doc&amp;base=RLAW026&amp;n=205808&amp;dst=100033" TargetMode = "External"/>
	<Relationship Id="rId98" Type="http://schemas.openxmlformats.org/officeDocument/2006/relationships/hyperlink" Target="https://login.consultant.ru/link/?req=doc&amp;base=RLAW026&amp;n=194529&amp;dst=100018" TargetMode = "External"/>
	<Relationship Id="rId99" Type="http://schemas.openxmlformats.org/officeDocument/2006/relationships/hyperlink" Target="https://login.consultant.ru/link/?req=doc&amp;base=RLAW026&amp;n=185667&amp;dst=100040" TargetMode = "External"/>
	<Relationship Id="rId100" Type="http://schemas.openxmlformats.org/officeDocument/2006/relationships/hyperlink" Target="https://login.consultant.ru/link/?req=doc&amp;base=RLAW026&amp;n=205808&amp;dst=100034" TargetMode = "External"/>
	<Relationship Id="rId101" Type="http://schemas.openxmlformats.org/officeDocument/2006/relationships/hyperlink" Target="https://login.consultant.ru/link/?req=doc&amp;base=LAW&amp;n=453313" TargetMode = "External"/>
	<Relationship Id="rId102" Type="http://schemas.openxmlformats.org/officeDocument/2006/relationships/hyperlink" Target="https://login.consultant.ru/link/?req=doc&amp;base=LAW&amp;n=436326&amp;dst=100010" TargetMode = "External"/>
	<Relationship Id="rId103" Type="http://schemas.openxmlformats.org/officeDocument/2006/relationships/hyperlink" Target="https://login.consultant.ru/link/?req=doc&amp;base=RLAW026&amp;n=205808&amp;dst=100036" TargetMode = "External"/>
	<Relationship Id="rId104" Type="http://schemas.openxmlformats.org/officeDocument/2006/relationships/hyperlink" Target="https://login.consultant.ru/link/?req=doc&amp;base=RLAW026&amp;n=205808&amp;dst=100037" TargetMode = "External"/>
	<Relationship Id="rId105" Type="http://schemas.openxmlformats.org/officeDocument/2006/relationships/hyperlink" Target="https://login.consultant.ru/link/?req=doc&amp;base=RLAW026&amp;n=205808&amp;dst=100038" TargetMode = "External"/>
	<Relationship Id="rId106" Type="http://schemas.openxmlformats.org/officeDocument/2006/relationships/hyperlink" Target="https://login.consultant.ru/link/?req=doc&amp;base=RLAW026&amp;n=185667&amp;dst=100044" TargetMode = "External"/>
	<Relationship Id="rId107" Type="http://schemas.openxmlformats.org/officeDocument/2006/relationships/hyperlink" Target="https://login.consultant.ru/link/?req=doc&amp;base=RLAW026&amp;n=205808&amp;dst=100040" TargetMode = "External"/>
	<Relationship Id="rId108" Type="http://schemas.openxmlformats.org/officeDocument/2006/relationships/hyperlink" Target="https://login.consultant.ru/link/?req=doc&amp;base=RLAW026&amp;n=205808&amp;dst=100042" TargetMode = "External"/>
	<Relationship Id="rId109" Type="http://schemas.openxmlformats.org/officeDocument/2006/relationships/hyperlink" Target="https://login.consultant.ru/link/?req=doc&amp;base=RLAW026&amp;n=205808&amp;dst=100044" TargetMode = "External"/>
	<Relationship Id="rId110" Type="http://schemas.openxmlformats.org/officeDocument/2006/relationships/hyperlink" Target="https://login.consultant.ru/link/?req=doc&amp;base=RLAW026&amp;n=194529&amp;dst=100024" TargetMode = "External"/>
	<Relationship Id="rId111" Type="http://schemas.openxmlformats.org/officeDocument/2006/relationships/hyperlink" Target="https://login.consultant.ru/link/?req=doc&amp;base=RLAW026&amp;n=205808&amp;dst=100046" TargetMode = "External"/>
	<Relationship Id="rId112" Type="http://schemas.openxmlformats.org/officeDocument/2006/relationships/hyperlink" Target="https://login.consultant.ru/link/?req=doc&amp;base=RLAW026&amp;n=205808&amp;dst=100047" TargetMode = "External"/>
	<Relationship Id="rId113" Type="http://schemas.openxmlformats.org/officeDocument/2006/relationships/hyperlink" Target="https://login.consultant.ru/link/?req=doc&amp;base=RLAW026&amp;n=185667&amp;dst=100053" TargetMode = "External"/>
	<Relationship Id="rId114" Type="http://schemas.openxmlformats.org/officeDocument/2006/relationships/hyperlink" Target="https://login.consultant.ru/link/?req=doc&amp;base=RLAW026&amp;n=205808&amp;dst=100046" TargetMode = "External"/>
	<Relationship Id="rId115" Type="http://schemas.openxmlformats.org/officeDocument/2006/relationships/hyperlink" Target="https://login.consultant.ru/link/?req=doc&amp;base=RLAW026&amp;n=205808&amp;dst=100047" TargetMode = "External"/>
	<Relationship Id="rId116" Type="http://schemas.openxmlformats.org/officeDocument/2006/relationships/hyperlink" Target="https://login.consultant.ru/link/?req=doc&amp;base=RLAW026&amp;n=185667&amp;dst=100058" TargetMode = "External"/>
	<Relationship Id="rId117" Type="http://schemas.openxmlformats.org/officeDocument/2006/relationships/hyperlink" Target="https://login.consultant.ru/link/?req=doc&amp;base=RLAW026&amp;n=185667&amp;dst=100053" TargetMode = "External"/>
	<Relationship Id="rId118" Type="http://schemas.openxmlformats.org/officeDocument/2006/relationships/hyperlink" Target="https://login.consultant.ru/link/?req=doc&amp;base=RLAW026&amp;n=185667&amp;dst=100063" TargetMode = "External"/>
	<Relationship Id="rId119" Type="http://schemas.openxmlformats.org/officeDocument/2006/relationships/hyperlink" Target="https://login.consultant.ru/link/?req=doc&amp;base=RLAW026&amp;n=205808&amp;dst=100049" TargetMode = "External"/>
	<Relationship Id="rId120" Type="http://schemas.openxmlformats.org/officeDocument/2006/relationships/hyperlink" Target="https://login.consultant.ru/link/?req=doc&amp;base=RLAW026&amp;n=205808&amp;dst=100051" TargetMode = "External"/>
	<Relationship Id="rId121" Type="http://schemas.openxmlformats.org/officeDocument/2006/relationships/hyperlink" Target="https://login.consultant.ru/link/?req=doc&amp;base=RLAW026&amp;n=205808&amp;dst=100052" TargetMode = "External"/>
	<Relationship Id="rId122" Type="http://schemas.openxmlformats.org/officeDocument/2006/relationships/hyperlink" Target="https://login.consultant.ru/link/?req=doc&amp;base=RLAW026&amp;n=205808&amp;dst=100053" TargetMode = "External"/>
	<Relationship Id="rId123" Type="http://schemas.openxmlformats.org/officeDocument/2006/relationships/hyperlink" Target="https://login.consultant.ru/link/?req=doc&amp;base=RLAW026&amp;n=185667&amp;dst=100065" TargetMode = "External"/>
	<Relationship Id="rId124" Type="http://schemas.openxmlformats.org/officeDocument/2006/relationships/hyperlink" Target="https://login.consultant.ru/link/?req=doc&amp;base=RLAW026&amp;n=185667&amp;dst=100066" TargetMode = "External"/>
	<Relationship Id="rId125" Type="http://schemas.openxmlformats.org/officeDocument/2006/relationships/hyperlink" Target="https://login.consultant.ru/link/?req=doc&amp;base=RLAW026&amp;n=205808&amp;dst=100054" TargetMode = "External"/>
	<Relationship Id="rId126" Type="http://schemas.openxmlformats.org/officeDocument/2006/relationships/hyperlink" Target="https://login.consultant.ru/link/?req=doc&amp;base=RLAW026&amp;n=185667&amp;dst=100067" TargetMode = "External"/>
	<Relationship Id="rId127" Type="http://schemas.openxmlformats.org/officeDocument/2006/relationships/hyperlink" Target="https://login.consultant.ru/link/?req=doc&amp;base=RLAW026&amp;n=185667&amp;dst=100068" TargetMode = "External"/>
	<Relationship Id="rId128" Type="http://schemas.openxmlformats.org/officeDocument/2006/relationships/hyperlink" Target="https://login.consultant.ru/link/?req=doc&amp;base=RLAW026&amp;n=205808&amp;dst=100056" TargetMode = "External"/>
	<Relationship Id="rId129" Type="http://schemas.openxmlformats.org/officeDocument/2006/relationships/hyperlink" Target="https://login.consultant.ru/link/?req=doc&amp;base=RLAW026&amp;n=205808&amp;dst=100057" TargetMode = "External"/>
	<Relationship Id="rId130" Type="http://schemas.openxmlformats.org/officeDocument/2006/relationships/hyperlink" Target="https://login.consultant.ru/link/?req=doc&amp;base=LAW&amp;n=464169" TargetMode = "External"/>
	<Relationship Id="rId131" Type="http://schemas.openxmlformats.org/officeDocument/2006/relationships/hyperlink" Target="https://login.consultant.ru/link/?req=doc&amp;base=LAW&amp;n=466161" TargetMode = "External"/>
	<Relationship Id="rId132" Type="http://schemas.openxmlformats.org/officeDocument/2006/relationships/hyperlink" Target="https://login.consultant.ru/link/?req=doc&amp;base=RLAW026&amp;n=205254" TargetMode = "External"/>
	<Relationship Id="rId133" Type="http://schemas.openxmlformats.org/officeDocument/2006/relationships/hyperlink" Target="https://login.consultant.ru/link/?req=doc&amp;base=RLAW026&amp;n=205808&amp;dst=100058" TargetMode = "External"/>
	<Relationship Id="rId134" Type="http://schemas.openxmlformats.org/officeDocument/2006/relationships/hyperlink" Target="https://login.consultant.ru/link/?req=doc&amp;base=RLAW026&amp;n=185667&amp;dst=100069" TargetMode = "External"/>
	<Relationship Id="rId135" Type="http://schemas.openxmlformats.org/officeDocument/2006/relationships/hyperlink" Target="https://login.consultant.ru/link/?req=doc&amp;base=RLAW026&amp;n=185667&amp;dst=100070" TargetMode = "External"/>
	<Relationship Id="rId136" Type="http://schemas.openxmlformats.org/officeDocument/2006/relationships/hyperlink" Target="https://login.consultant.ru/link/?req=doc&amp;base=RLAW026&amp;n=205808&amp;dst=100059" TargetMode = "External"/>
	<Relationship Id="rId137" Type="http://schemas.openxmlformats.org/officeDocument/2006/relationships/hyperlink" Target="https://login.consultant.ru/link/?req=doc&amp;base=RLAW026&amp;n=205924&amp;dst=100043" TargetMode = "External"/>
	<Relationship Id="rId138" Type="http://schemas.openxmlformats.org/officeDocument/2006/relationships/hyperlink" Target="https://login.consultant.ru/link/?req=doc&amp;base=RLAW026&amp;n=205808&amp;dst=100060" TargetMode = "External"/>
	<Relationship Id="rId139" Type="http://schemas.openxmlformats.org/officeDocument/2006/relationships/hyperlink" Target="https://login.consultant.ru/link/?req=doc&amp;base=RLAW026&amp;n=205808&amp;dst=100069" TargetMode = "External"/>
	<Relationship Id="rId140" Type="http://schemas.openxmlformats.org/officeDocument/2006/relationships/hyperlink" Target="https://login.consultant.ru/link/?req=doc&amp;base=RLAW026&amp;n=205808&amp;dst=100071" TargetMode = "External"/>
	<Relationship Id="rId141" Type="http://schemas.openxmlformats.org/officeDocument/2006/relationships/hyperlink" Target="https://login.consultant.ru/link/?req=doc&amp;base=RLAW026&amp;n=205808&amp;dst=100073" TargetMode = "External"/>
	<Relationship Id="rId142" Type="http://schemas.openxmlformats.org/officeDocument/2006/relationships/hyperlink" Target="https://login.consultant.ru/link/?req=doc&amp;base=RLAW026&amp;n=185667&amp;dst=100071" TargetMode = "External"/>
	<Relationship Id="rId143" Type="http://schemas.openxmlformats.org/officeDocument/2006/relationships/hyperlink" Target="https://login.consultant.ru/link/?req=doc&amp;base=RLAW026&amp;n=205808&amp;dst=100073" TargetMode = "External"/>
	<Relationship Id="rId144" Type="http://schemas.openxmlformats.org/officeDocument/2006/relationships/hyperlink" Target="https://login.consultant.ru/link/?req=doc&amp;base=RLAW026&amp;n=205808&amp;dst=100075" TargetMode = "External"/>
	<Relationship Id="rId145" Type="http://schemas.openxmlformats.org/officeDocument/2006/relationships/hyperlink" Target="https://login.consultant.ru/link/?req=doc&amp;base=RLAW026&amp;n=205808&amp;dst=100078" TargetMode = "External"/>
	<Relationship Id="rId146" Type="http://schemas.openxmlformats.org/officeDocument/2006/relationships/hyperlink" Target="https://login.consultant.ru/link/?req=doc&amp;base=RLAW026&amp;n=205808&amp;dst=100079" TargetMode = "External"/>
	<Relationship Id="rId147" Type="http://schemas.openxmlformats.org/officeDocument/2006/relationships/hyperlink" Target="https://login.consultant.ru/link/?req=doc&amp;base=RLAW026&amp;n=205808&amp;dst=100079" TargetMode = "External"/>
	<Relationship Id="rId148" Type="http://schemas.openxmlformats.org/officeDocument/2006/relationships/hyperlink" Target="https://login.consultant.ru/link/?req=doc&amp;base=RLAW026&amp;n=205808&amp;dst=100079" TargetMode = "External"/>
	<Relationship Id="rId149" Type="http://schemas.openxmlformats.org/officeDocument/2006/relationships/hyperlink" Target="https://login.consultant.ru/link/?req=doc&amp;base=RLAW026&amp;n=205808&amp;dst=100080" TargetMode = "External"/>
	<Relationship Id="rId150" Type="http://schemas.openxmlformats.org/officeDocument/2006/relationships/hyperlink" Target="https://login.consultant.ru/link/?req=doc&amp;base=RLAW026&amp;n=205808&amp;dst=100080" TargetMode = "External"/>
	<Relationship Id="rId151" Type="http://schemas.openxmlformats.org/officeDocument/2006/relationships/hyperlink" Target="https://login.consultant.ru/link/?req=doc&amp;base=RLAW026&amp;n=185667&amp;dst=100072" TargetMode = "External"/>
	<Relationship Id="rId152" Type="http://schemas.openxmlformats.org/officeDocument/2006/relationships/hyperlink" Target="https://login.consultant.ru/link/?req=doc&amp;base=RLAW026&amp;n=205808&amp;dst=100080" TargetMode = "External"/>
	<Relationship Id="rId153" Type="http://schemas.openxmlformats.org/officeDocument/2006/relationships/hyperlink" Target="https://login.consultant.ru/link/?req=doc&amp;base=RLAW026&amp;n=205808&amp;dst=100080" TargetMode = "External"/>
	<Relationship Id="rId154" Type="http://schemas.openxmlformats.org/officeDocument/2006/relationships/hyperlink" Target="https://login.consultant.ru/link/?req=doc&amp;base=RLAW026&amp;n=208775&amp;dst=726" TargetMode = "External"/>
	<Relationship Id="rId155" Type="http://schemas.openxmlformats.org/officeDocument/2006/relationships/hyperlink" Target="https://login.consultant.ru/link/?req=doc&amp;base=RLAW026&amp;n=181209&amp;dst=100007" TargetMode = "External"/>
	<Relationship Id="rId156" Type="http://schemas.openxmlformats.org/officeDocument/2006/relationships/hyperlink" Target="https://login.consultant.ru/link/?req=doc&amp;base=RLAW026&amp;n=205808&amp;dst=100080" TargetMode = "External"/>
	<Relationship Id="rId157" Type="http://schemas.openxmlformats.org/officeDocument/2006/relationships/hyperlink" Target="https://login.consultant.ru/link/?req=doc&amp;base=RLAW026&amp;n=205808&amp;dst=100093" TargetMode = "External"/>
	<Relationship Id="rId158" Type="http://schemas.openxmlformats.org/officeDocument/2006/relationships/hyperlink" Target="https://login.consultant.ru/link/?req=doc&amp;base=RLAW026&amp;n=205808&amp;dst=100081" TargetMode = "External"/>
	<Relationship Id="rId159" Type="http://schemas.openxmlformats.org/officeDocument/2006/relationships/hyperlink" Target="https://login.consultant.ru/link/?req=doc&amp;base=RLAW026&amp;n=205808&amp;dst=100093" TargetMode = "External"/>
	<Relationship Id="rId160" Type="http://schemas.openxmlformats.org/officeDocument/2006/relationships/hyperlink" Target="https://login.consultant.ru/link/?req=doc&amp;base=RLAW026&amp;n=185667&amp;dst=100075" TargetMode = "External"/>
	<Relationship Id="rId161" Type="http://schemas.openxmlformats.org/officeDocument/2006/relationships/hyperlink" Target="https://login.consultant.ru/link/?req=doc&amp;base=RLAW026&amp;n=205808&amp;dst=100083" TargetMode = "External"/>
	<Relationship Id="rId162" Type="http://schemas.openxmlformats.org/officeDocument/2006/relationships/hyperlink" Target="https://login.consultant.ru/link/?req=doc&amp;base=RLAW026&amp;n=185667&amp;dst=100076" TargetMode = "External"/>
	<Relationship Id="rId163" Type="http://schemas.openxmlformats.org/officeDocument/2006/relationships/hyperlink" Target="https://login.consultant.ru/link/?req=doc&amp;base=RLAW026&amp;n=185667&amp;dst=100077" TargetMode = "External"/>
	<Relationship Id="rId164" Type="http://schemas.openxmlformats.org/officeDocument/2006/relationships/hyperlink" Target="https://login.consultant.ru/link/?req=doc&amp;base=RLAW026&amp;n=185667&amp;dst=100077" TargetMode = "External"/>
	<Relationship Id="rId165" Type="http://schemas.openxmlformats.org/officeDocument/2006/relationships/hyperlink" Target="https://login.consultant.ru/link/?req=doc&amp;base=RLAW026&amp;n=185667&amp;dst=100078" TargetMode = "External"/>
	<Relationship Id="rId166" Type="http://schemas.openxmlformats.org/officeDocument/2006/relationships/hyperlink" Target="https://login.consultant.ru/link/?req=doc&amp;base=RLAW026&amp;n=185667&amp;dst=100079" TargetMode = "External"/>
	<Relationship Id="rId167" Type="http://schemas.openxmlformats.org/officeDocument/2006/relationships/hyperlink" Target="https://login.consultant.ru/link/?req=doc&amp;base=RLAW026&amp;n=185667&amp;dst=100080" TargetMode = "External"/>
	<Relationship Id="rId168" Type="http://schemas.openxmlformats.org/officeDocument/2006/relationships/hyperlink" Target="https://login.consultant.ru/link/?req=doc&amp;base=RLAW026&amp;n=205808&amp;dst=100084" TargetMode = "External"/>
	<Relationship Id="rId169" Type="http://schemas.openxmlformats.org/officeDocument/2006/relationships/hyperlink" Target="https://login.consultant.ru/link/?req=doc&amp;base=RLAW026&amp;n=185667&amp;dst=100081" TargetMode = "External"/>
	<Relationship Id="rId170" Type="http://schemas.openxmlformats.org/officeDocument/2006/relationships/hyperlink" Target="https://login.consultant.ru/link/?req=doc&amp;base=RLAW026&amp;n=185667&amp;dst=100082" TargetMode = "External"/>
	<Relationship Id="rId171" Type="http://schemas.openxmlformats.org/officeDocument/2006/relationships/hyperlink" Target="https://login.consultant.ru/link/?req=doc&amp;base=RLAW026&amp;n=205808&amp;dst=100087" TargetMode = "External"/>
	<Relationship Id="rId172" Type="http://schemas.openxmlformats.org/officeDocument/2006/relationships/hyperlink" Target="https://login.consultant.ru/link/?req=doc&amp;base=RLAW026&amp;n=205808&amp;dst=100088" TargetMode = "External"/>
	<Relationship Id="rId173" Type="http://schemas.openxmlformats.org/officeDocument/2006/relationships/hyperlink" Target="https://login.consultant.ru/link/?req=doc&amp;base=RLAW026&amp;n=205808&amp;dst=100093" TargetMode = "External"/>
	<Relationship Id="rId174" Type="http://schemas.openxmlformats.org/officeDocument/2006/relationships/hyperlink" Target="https://login.consultant.ru/link/?req=doc&amp;base=RLAW026&amp;n=185667&amp;dst=100083" TargetMode = "External"/>
	<Relationship Id="rId175" Type="http://schemas.openxmlformats.org/officeDocument/2006/relationships/hyperlink" Target="https://login.consultant.ru/link/?req=doc&amp;base=RLAW026&amp;n=205808&amp;dst=100090" TargetMode = "External"/>
	<Relationship Id="rId176" Type="http://schemas.openxmlformats.org/officeDocument/2006/relationships/hyperlink" Target="https://login.consultant.ru/link/?req=doc&amp;base=RLAW026&amp;n=205808&amp;dst=100093" TargetMode = "External"/>
	<Relationship Id="rId177" Type="http://schemas.openxmlformats.org/officeDocument/2006/relationships/hyperlink" Target="https://login.consultant.ru/link/?req=doc&amp;base=RLAW026&amp;n=205808&amp;dst=100091" TargetMode = "External"/>
	<Relationship Id="rId178" Type="http://schemas.openxmlformats.org/officeDocument/2006/relationships/hyperlink" Target="https://login.consultant.ru/link/?req=doc&amp;base=RLAW026&amp;n=185667&amp;dst=100085" TargetMode = "External"/>
	<Relationship Id="rId179" Type="http://schemas.openxmlformats.org/officeDocument/2006/relationships/hyperlink" Target="https://login.consultant.ru/link/?req=doc&amp;base=RLAW026&amp;n=205808&amp;dst=100093" TargetMode = "External"/>
	<Relationship Id="rId180" Type="http://schemas.openxmlformats.org/officeDocument/2006/relationships/hyperlink" Target="https://login.consultant.ru/link/?req=doc&amp;base=RLAW026&amp;n=194529&amp;dst=100026" TargetMode = "External"/>
	<Relationship Id="rId181" Type="http://schemas.openxmlformats.org/officeDocument/2006/relationships/hyperlink" Target="https://login.consultant.ru/link/?req=doc&amp;base=RLAW026&amp;n=185667&amp;dst=100087" TargetMode = "External"/>
	<Relationship Id="rId182" Type="http://schemas.openxmlformats.org/officeDocument/2006/relationships/hyperlink" Target="https://login.consultant.ru/link/?req=doc&amp;base=RLAW026&amp;n=205808&amp;dst=100093" TargetMode = "External"/>
	<Relationship Id="rId183" Type="http://schemas.openxmlformats.org/officeDocument/2006/relationships/hyperlink" Target="https://login.consultant.ru/link/?req=doc&amp;base=RLAW026&amp;n=205808&amp;dst=100093" TargetMode = "External"/>
	<Relationship Id="rId184" Type="http://schemas.openxmlformats.org/officeDocument/2006/relationships/hyperlink" Target="https://login.consultant.ru/link/?req=doc&amp;base=RLAW026&amp;n=205808&amp;dst=100093" TargetMode = "External"/>
	<Relationship Id="rId185" Type="http://schemas.openxmlformats.org/officeDocument/2006/relationships/hyperlink" Target="https://login.consultant.ru/link/?req=doc&amp;base=LAW&amp;n=435884" TargetMode = "External"/>
	<Relationship Id="rId186" Type="http://schemas.openxmlformats.org/officeDocument/2006/relationships/hyperlink" Target="https://login.consultant.ru/link/?req=doc&amp;base=RLAW026&amp;n=185667&amp;dst=100088" TargetMode = "External"/>
	<Relationship Id="rId187" Type="http://schemas.openxmlformats.org/officeDocument/2006/relationships/hyperlink" Target="https://login.consultant.ru/link/?req=doc&amp;base=RLAW026&amp;n=205808&amp;dst=100093" TargetMode = "External"/>
	<Relationship Id="rId188" Type="http://schemas.openxmlformats.org/officeDocument/2006/relationships/hyperlink" Target="https://login.consultant.ru/link/?req=doc&amp;base=RLAW026&amp;n=185667&amp;dst=100090" TargetMode = "External"/>
	<Relationship Id="rId189" Type="http://schemas.openxmlformats.org/officeDocument/2006/relationships/hyperlink" Target="https://login.consultant.ru/link/?req=doc&amp;base=RLAW026&amp;n=205808&amp;dst=100105" TargetMode = "External"/>
	<Relationship Id="rId190" Type="http://schemas.openxmlformats.org/officeDocument/2006/relationships/hyperlink" Target="https://login.consultant.ru/link/?req=doc&amp;base=RLAW026&amp;n=205924&amp;dst=100045" TargetMode = "External"/>
	<Relationship Id="rId191" Type="http://schemas.openxmlformats.org/officeDocument/2006/relationships/hyperlink" Target="https://login.consultant.ru/link/?req=doc&amp;base=LAW&amp;n=465808&amp;dst=3704" TargetMode = "External"/>
	<Relationship Id="rId192" Type="http://schemas.openxmlformats.org/officeDocument/2006/relationships/hyperlink" Target="https://login.consultant.ru/link/?req=doc&amp;base=LAW&amp;n=465808&amp;dst=3722" TargetMode = "External"/>
	<Relationship Id="rId193" Type="http://schemas.openxmlformats.org/officeDocument/2006/relationships/hyperlink" Target="https://login.consultant.ru/link/?req=doc&amp;base=RLAW026&amp;n=185667&amp;dst=100093" TargetMode = "External"/>
	<Relationship Id="rId194" Type="http://schemas.openxmlformats.org/officeDocument/2006/relationships/hyperlink" Target="https://login.consultant.ru/link/?req=doc&amp;base=RLAW026&amp;n=205808&amp;dst=100095" TargetMode = "External"/>
	<Relationship Id="rId195" Type="http://schemas.openxmlformats.org/officeDocument/2006/relationships/hyperlink" Target="https://login.consultant.ru/link/?req=doc&amp;base=LAW&amp;n=465808&amp;dst=3704" TargetMode = "External"/>
	<Relationship Id="rId196" Type="http://schemas.openxmlformats.org/officeDocument/2006/relationships/hyperlink" Target="https://login.consultant.ru/link/?req=doc&amp;base=LAW&amp;n=465808&amp;dst=3722" TargetMode = "External"/>
	<Relationship Id="rId197" Type="http://schemas.openxmlformats.org/officeDocument/2006/relationships/hyperlink" Target="https://login.consultant.ru/link/?req=doc&amp;base=RLAW026&amp;n=185667&amp;dst=100095" TargetMode = "External"/>
	<Relationship Id="rId198" Type="http://schemas.openxmlformats.org/officeDocument/2006/relationships/hyperlink" Target="https://login.consultant.ru/link/?req=doc&amp;base=RLAW026&amp;n=205808&amp;dst=100098" TargetMode = "External"/>
	<Relationship Id="rId199" Type="http://schemas.openxmlformats.org/officeDocument/2006/relationships/hyperlink" Target="https://login.consultant.ru/link/?req=doc&amp;base=RLAW026&amp;n=185667&amp;dst=100096" TargetMode = "External"/>
	<Relationship Id="rId200" Type="http://schemas.openxmlformats.org/officeDocument/2006/relationships/hyperlink" Target="https://login.consultant.ru/link/?req=doc&amp;base=RLAW026&amp;n=185667&amp;dst=100097" TargetMode = "External"/>
	<Relationship Id="rId201" Type="http://schemas.openxmlformats.org/officeDocument/2006/relationships/hyperlink" Target="https://login.consultant.ru/link/?req=doc&amp;base=LAW&amp;n=464169" TargetMode = "External"/>
	<Relationship Id="rId202" Type="http://schemas.openxmlformats.org/officeDocument/2006/relationships/hyperlink" Target="https://login.consultant.ru/link/?req=doc&amp;base=RLAW026&amp;n=185667&amp;dst=100098" TargetMode = "External"/>
	<Relationship Id="rId203" Type="http://schemas.openxmlformats.org/officeDocument/2006/relationships/hyperlink" Target="https://login.consultant.ru/link/?req=doc&amp;base=RLAW026&amp;n=185667&amp;dst=100099" TargetMode = "External"/>
	<Relationship Id="rId204" Type="http://schemas.openxmlformats.org/officeDocument/2006/relationships/hyperlink" Target="https://login.consultant.ru/link/?req=doc&amp;base=RLAW026&amp;n=185667&amp;dst=100101" TargetMode = "External"/>
	<Relationship Id="rId205" Type="http://schemas.openxmlformats.org/officeDocument/2006/relationships/hyperlink" Target="https://login.consultant.ru/link/?req=doc&amp;base=RLAW026&amp;n=205808&amp;dst=100105" TargetMode = "External"/>
	<Relationship Id="rId206" Type="http://schemas.openxmlformats.org/officeDocument/2006/relationships/hyperlink" Target="https://login.consultant.ru/link/?req=doc&amp;base=RLAW026&amp;n=205808&amp;dst=100099" TargetMode = "External"/>
	<Relationship Id="rId207" Type="http://schemas.openxmlformats.org/officeDocument/2006/relationships/hyperlink" Target="https://login.consultant.ru/link/?req=doc&amp;base=RLAW026&amp;n=205808&amp;dst=100105" TargetMode = "External"/>
	<Relationship Id="rId208" Type="http://schemas.openxmlformats.org/officeDocument/2006/relationships/hyperlink" Target="https://login.consultant.ru/link/?req=doc&amp;base=RLAW026&amp;n=205808&amp;dst=100105" TargetMode = "External"/>
	<Relationship Id="rId209" Type="http://schemas.openxmlformats.org/officeDocument/2006/relationships/hyperlink" Target="https://login.consultant.ru/link/?req=doc&amp;base=RLAW026&amp;n=194529&amp;dst=100028" TargetMode = "External"/>
	<Relationship Id="rId210" Type="http://schemas.openxmlformats.org/officeDocument/2006/relationships/hyperlink" Target="https://login.consultant.ru/link/?req=doc&amp;base=RLAW026&amp;n=205808&amp;dst=100100" TargetMode = "External"/>
	<Relationship Id="rId211" Type="http://schemas.openxmlformats.org/officeDocument/2006/relationships/hyperlink" Target="https://login.consultant.ru/link/?req=doc&amp;base=RLAW026&amp;n=194529&amp;dst=100030" TargetMode = "External"/>
	<Relationship Id="rId212" Type="http://schemas.openxmlformats.org/officeDocument/2006/relationships/hyperlink" Target="https://login.consultant.ru/link/?req=doc&amp;base=RLAW026&amp;n=194529&amp;dst=100031" TargetMode = "External"/>
	<Relationship Id="rId213" Type="http://schemas.openxmlformats.org/officeDocument/2006/relationships/hyperlink" Target="https://login.consultant.ru/link/?req=doc&amp;base=RLAW026&amp;n=194529&amp;dst=100032" TargetMode = "External"/>
	<Relationship Id="rId214" Type="http://schemas.openxmlformats.org/officeDocument/2006/relationships/hyperlink" Target="https://login.consultant.ru/link/?req=doc&amp;base=RLAW026&amp;n=205808&amp;dst=100105" TargetMode = "External"/>
	<Relationship Id="rId215" Type="http://schemas.openxmlformats.org/officeDocument/2006/relationships/hyperlink" Target="https://login.consultant.ru/link/?req=doc&amp;base=RLAW026&amp;n=205808&amp;dst=100101" TargetMode = "External"/>
	<Relationship Id="rId216" Type="http://schemas.openxmlformats.org/officeDocument/2006/relationships/hyperlink" Target="https://login.consultant.ru/link/?req=doc&amp;base=RLAW026&amp;n=205808&amp;dst=100105" TargetMode = "External"/>
	<Relationship Id="rId217" Type="http://schemas.openxmlformats.org/officeDocument/2006/relationships/hyperlink" Target="https://login.consultant.ru/link/?req=doc&amp;base=RLAW026&amp;n=205808&amp;dst=100103" TargetMode = "External"/>
	<Relationship Id="rId218" Type="http://schemas.openxmlformats.org/officeDocument/2006/relationships/hyperlink" Target="https://login.consultant.ru/link/?req=doc&amp;base=LAW&amp;n=464181&amp;dst=100078" TargetMode = "External"/>
	<Relationship Id="rId219" Type="http://schemas.openxmlformats.org/officeDocument/2006/relationships/hyperlink" Target="https://login.consultant.ru/link/?req=doc&amp;base=RLAW026&amp;n=205808&amp;dst=100104" TargetMode = "External"/>
	<Relationship Id="rId220" Type="http://schemas.openxmlformats.org/officeDocument/2006/relationships/hyperlink" Target="https://login.consultant.ru/link/?req=doc&amp;base=RLAW026&amp;n=194529&amp;dst=100034" TargetMode = "External"/>
	<Relationship Id="rId221" Type="http://schemas.openxmlformats.org/officeDocument/2006/relationships/hyperlink" Target="https://login.consultant.ru/link/?req=doc&amp;base=RLAW026&amp;n=205808&amp;dst=100105" TargetMode = "External"/>
	<Relationship Id="rId222" Type="http://schemas.openxmlformats.org/officeDocument/2006/relationships/hyperlink" Target="https://login.consultant.ru/link/?req=doc&amp;base=LAW&amp;n=466161&amp;dst=422" TargetMode = "External"/>
	<Relationship Id="rId223" Type="http://schemas.openxmlformats.org/officeDocument/2006/relationships/hyperlink" Target="https://login.consultant.ru/link/?req=doc&amp;base=LAW&amp;n=466161&amp;dst=423" TargetMode = "External"/>
	<Relationship Id="rId224" Type="http://schemas.openxmlformats.org/officeDocument/2006/relationships/hyperlink" Target="https://login.consultant.ru/link/?req=doc&amp;base=RLAW026&amp;n=194529&amp;dst=100041" TargetMode = "External"/>
	<Relationship Id="rId225" Type="http://schemas.openxmlformats.org/officeDocument/2006/relationships/hyperlink" Target="https://login.consultant.ru/link/?req=doc&amp;base=RLAW026&amp;n=205924&amp;dst=100023" TargetMode = "External"/>
	<Relationship Id="rId226" Type="http://schemas.openxmlformats.org/officeDocument/2006/relationships/hyperlink" Target="https://login.consultant.ru/link/?req=doc&amp;base=RLAW026&amp;n=205808&amp;dst=100106" TargetMode = "External"/>
	<Relationship Id="rId227" Type="http://schemas.openxmlformats.org/officeDocument/2006/relationships/hyperlink" Target="https://login.consultant.ru/link/?req=doc&amp;base=RLAW026&amp;n=205808&amp;dst=100106" TargetMode = "External"/>
	<Relationship Id="rId228" Type="http://schemas.openxmlformats.org/officeDocument/2006/relationships/hyperlink" Target="https://login.consultant.ru/link/?req=doc&amp;base=LAW&amp;n=464181&amp;dst=100078" TargetMode = "External"/>
	<Relationship Id="rId229" Type="http://schemas.openxmlformats.org/officeDocument/2006/relationships/hyperlink" Target="https://login.consultant.ru/link/?req=doc&amp;base=RLAW026&amp;n=205808&amp;dst=100106" TargetMode = "External"/>
	<Relationship Id="rId230" Type="http://schemas.openxmlformats.org/officeDocument/2006/relationships/hyperlink" Target="https://login.consultant.ru/link/?req=doc&amp;base=RLAW026&amp;n=194529&amp;dst=100044" TargetMode = "External"/>
	<Relationship Id="rId231" Type="http://schemas.openxmlformats.org/officeDocument/2006/relationships/hyperlink" Target="https://login.consultant.ru/link/?req=doc&amp;base=RLAW026&amp;n=205808&amp;dst=100107" TargetMode = "External"/>
	<Relationship Id="rId232" Type="http://schemas.openxmlformats.org/officeDocument/2006/relationships/hyperlink" Target="https://login.consultant.ru/link/?req=doc&amp;base=RLAW026&amp;n=205808&amp;dst=100108" TargetMode = "External"/>
	<Relationship Id="rId233" Type="http://schemas.openxmlformats.org/officeDocument/2006/relationships/hyperlink" Target="https://login.consultant.ru/link/?req=doc&amp;base=RLAW026&amp;n=205808&amp;dst=100108" TargetMode = "External"/>
	<Relationship Id="rId234" Type="http://schemas.openxmlformats.org/officeDocument/2006/relationships/hyperlink" Target="https://login.consultant.ru/link/?req=doc&amp;base=RLAW026&amp;n=185667&amp;dst=100105" TargetMode = "External"/>
	<Relationship Id="rId235" Type="http://schemas.openxmlformats.org/officeDocument/2006/relationships/hyperlink" Target="https://login.consultant.ru/link/?req=doc&amp;base=RLAW026&amp;n=205924&amp;dst=100028" TargetMode = "External"/>
	<Relationship Id="rId236" Type="http://schemas.openxmlformats.org/officeDocument/2006/relationships/hyperlink" Target="https://login.consultant.ru/link/?req=doc&amp;base=RLAW026&amp;n=185667&amp;dst=100107" TargetMode = "External"/>
	<Relationship Id="rId237" Type="http://schemas.openxmlformats.org/officeDocument/2006/relationships/hyperlink" Target="https://login.consultant.ru/link/?req=doc&amp;base=RLAW026&amp;n=205808&amp;dst=100109" TargetMode = "External"/>
	<Relationship Id="rId238" Type="http://schemas.openxmlformats.org/officeDocument/2006/relationships/hyperlink" Target="https://login.consultant.ru/link/?req=doc&amp;base=RLAW026&amp;n=185667&amp;dst=100108" TargetMode = "External"/>
	<Relationship Id="rId239" Type="http://schemas.openxmlformats.org/officeDocument/2006/relationships/hyperlink" Target="https://login.consultant.ru/link/?req=doc&amp;base=RLAW026&amp;n=205924&amp;dst=100030" TargetMode = "External"/>
	<Relationship Id="rId240" Type="http://schemas.openxmlformats.org/officeDocument/2006/relationships/hyperlink" Target="https://login.consultant.ru/link/?req=doc&amp;base=LAW&amp;n=465808&amp;dst=3704" TargetMode = "External"/>
	<Relationship Id="rId241" Type="http://schemas.openxmlformats.org/officeDocument/2006/relationships/hyperlink" Target="https://login.consultant.ru/link/?req=doc&amp;base=LAW&amp;n=465808&amp;dst=3722" TargetMode = "External"/>
	<Relationship Id="rId242" Type="http://schemas.openxmlformats.org/officeDocument/2006/relationships/hyperlink" Target="https://login.consultant.ru/link/?req=doc&amp;base=RLAW026&amp;n=185667&amp;dst=100110" TargetMode = "External"/>
	<Relationship Id="rId243" Type="http://schemas.openxmlformats.org/officeDocument/2006/relationships/hyperlink" Target="https://login.consultant.ru/link/?req=doc&amp;base=RLAW026&amp;n=185667&amp;dst=100111" TargetMode = "External"/>
	<Relationship Id="rId244" Type="http://schemas.openxmlformats.org/officeDocument/2006/relationships/hyperlink" Target="https://login.consultant.ru/link/?req=doc&amp;base=RLAW026&amp;n=185667&amp;dst=100107" TargetMode = "External"/>
	<Relationship Id="rId245" Type="http://schemas.openxmlformats.org/officeDocument/2006/relationships/hyperlink" Target="https://login.consultant.ru/link/?req=doc&amp;base=RLAW026&amp;n=205808&amp;dst=100110" TargetMode = "External"/>
	<Relationship Id="rId246" Type="http://schemas.openxmlformats.org/officeDocument/2006/relationships/hyperlink" Target="https://login.consultant.ru/link/?req=doc&amp;base=RLAW026&amp;n=185667&amp;dst=100114" TargetMode = "External"/>
	<Relationship Id="rId247" Type="http://schemas.openxmlformats.org/officeDocument/2006/relationships/hyperlink" Target="https://login.consultant.ru/link/?req=doc&amp;base=RLAW026&amp;n=185667&amp;dst=100115" TargetMode = "External"/>
	<Relationship Id="rId248" Type="http://schemas.openxmlformats.org/officeDocument/2006/relationships/hyperlink" Target="https://login.consultant.ru/link/?req=doc&amp;base=RLAW026&amp;n=185667&amp;dst=100116" TargetMode = "External"/>
	<Relationship Id="rId249" Type="http://schemas.openxmlformats.org/officeDocument/2006/relationships/hyperlink" Target="https://login.consultant.ru/link/?req=doc&amp;base=RLAW026&amp;n=185667&amp;dst=100118" TargetMode = "External"/>
	<Relationship Id="rId250" Type="http://schemas.openxmlformats.org/officeDocument/2006/relationships/hyperlink" Target="https://login.consultant.ru/link/?req=doc&amp;base=RLAW026&amp;n=185667&amp;dst=100119" TargetMode = "External"/>
	<Relationship Id="rId251" Type="http://schemas.openxmlformats.org/officeDocument/2006/relationships/hyperlink" Target="https://login.consultant.ru/link/?req=doc&amp;base=RLAW026&amp;n=185667&amp;dst=100120" TargetMode = "External"/>
	<Relationship Id="rId252" Type="http://schemas.openxmlformats.org/officeDocument/2006/relationships/hyperlink" Target="https://login.consultant.ru/link/?req=doc&amp;base=RLAW026&amp;n=185667&amp;dst=100120" TargetMode = "External"/>
	<Relationship Id="rId253" Type="http://schemas.openxmlformats.org/officeDocument/2006/relationships/hyperlink" Target="https://login.consultant.ru/link/?req=doc&amp;base=RLAW026&amp;n=185667&amp;dst=100121" TargetMode = "External"/>
	<Relationship Id="rId254" Type="http://schemas.openxmlformats.org/officeDocument/2006/relationships/hyperlink" Target="https://login.consultant.ru/link/?req=doc&amp;base=RLAW026&amp;n=185667&amp;dst=100122" TargetMode = "External"/>
	<Relationship Id="rId255" Type="http://schemas.openxmlformats.org/officeDocument/2006/relationships/hyperlink" Target="https://login.consultant.ru/link/?req=doc&amp;base=RLAW026&amp;n=205808&amp;dst=100111" TargetMode = "External"/>
	<Relationship Id="rId256" Type="http://schemas.openxmlformats.org/officeDocument/2006/relationships/hyperlink" Target="https://login.consultant.ru/link/?req=doc&amp;base=RLAW026&amp;n=205808&amp;dst=100112" TargetMode = "External"/>
	<Relationship Id="rId257" Type="http://schemas.openxmlformats.org/officeDocument/2006/relationships/hyperlink" Target="https://login.consultant.ru/link/?req=doc&amp;base=RLAW026&amp;n=185667&amp;dst=100071" TargetMode = "External"/>
	<Relationship Id="rId258" Type="http://schemas.openxmlformats.org/officeDocument/2006/relationships/hyperlink" Target="https://login.consultant.ru/link/?req=doc&amp;base=RLAW026&amp;n=205808&amp;dst=100116" TargetMode = "External"/>
	<Relationship Id="rId259" Type="http://schemas.openxmlformats.org/officeDocument/2006/relationships/hyperlink" Target="https://login.consultant.ru/link/?req=doc&amp;base=RLAW026&amp;n=205808&amp;dst=100119" TargetMode = "External"/>
	<Relationship Id="rId260" Type="http://schemas.openxmlformats.org/officeDocument/2006/relationships/hyperlink" Target="https://login.consultant.ru/link/?req=doc&amp;base=RLAW026&amp;n=205808&amp;dst=100121" TargetMode = "External"/>
	<Relationship Id="rId261" Type="http://schemas.openxmlformats.org/officeDocument/2006/relationships/hyperlink" Target="https://login.consultant.ru/link/?req=doc&amp;base=RLAW026&amp;n=205808&amp;dst=100123" TargetMode = "External"/>
	<Relationship Id="rId262" Type="http://schemas.openxmlformats.org/officeDocument/2006/relationships/hyperlink" Target="https://login.consultant.ru/link/?req=doc&amp;base=RLAW026&amp;n=205808&amp;dst=100125" TargetMode = "External"/>
	<Relationship Id="rId263" Type="http://schemas.openxmlformats.org/officeDocument/2006/relationships/hyperlink" Target="https://login.consultant.ru/link/?req=doc&amp;base=RLAW026&amp;n=205808&amp;dst=100127" TargetMode = "External"/>
	<Relationship Id="rId264" Type="http://schemas.openxmlformats.org/officeDocument/2006/relationships/hyperlink" Target="https://login.consultant.ru/link/?req=doc&amp;base=RLAW026&amp;n=205808&amp;dst=100128" TargetMode = "External"/>
	<Relationship Id="rId265" Type="http://schemas.openxmlformats.org/officeDocument/2006/relationships/hyperlink" Target="https://login.consultant.ru/link/?req=doc&amp;base=LAW&amp;n=464169&amp;dst=100144" TargetMode = "External"/>
	<Relationship Id="rId266" Type="http://schemas.openxmlformats.org/officeDocument/2006/relationships/hyperlink" Target="https://login.consultant.ru/link/?req=doc&amp;base=RLAW026&amp;n=205924&amp;dst=100032" TargetMode = "External"/>
	<Relationship Id="rId267" Type="http://schemas.openxmlformats.org/officeDocument/2006/relationships/hyperlink" Target="https://login.consultant.ru/link/?req=doc&amp;base=RLAW026&amp;n=205924&amp;dst=100032" TargetMode = "External"/>
	<Relationship Id="rId268" Type="http://schemas.openxmlformats.org/officeDocument/2006/relationships/hyperlink" Target="https://login.consultant.ru/link/?req=doc&amp;base=RLAW026&amp;n=205924&amp;dst=100032" TargetMode = "External"/>
	<Relationship Id="rId269" Type="http://schemas.openxmlformats.org/officeDocument/2006/relationships/hyperlink" Target="https://login.consultant.ru/link/?req=doc&amp;base=RLAW026&amp;n=185667&amp;dst=100124" TargetMode = "External"/>
	<Relationship Id="rId270" Type="http://schemas.openxmlformats.org/officeDocument/2006/relationships/hyperlink" Target="https://login.consultant.ru/link/?req=doc&amp;base=RLAW026&amp;n=194529&amp;dst=100005" TargetMode = "External"/>
	<Relationship Id="rId271" Type="http://schemas.openxmlformats.org/officeDocument/2006/relationships/hyperlink" Target="https://login.consultant.ru/link/?req=doc&amp;base=RLAW026&amp;n=205808&amp;dst=100129" TargetMode = "External"/>
	<Relationship Id="rId272" Type="http://schemas.openxmlformats.org/officeDocument/2006/relationships/hyperlink" Target="https://login.consultant.ru/link/?req=doc&amp;base=LAW&amp;n=464169" TargetMode = "External"/>
	<Relationship Id="rId273" Type="http://schemas.openxmlformats.org/officeDocument/2006/relationships/hyperlink" Target="https://login.consultant.ru/link/?req=doc&amp;base=RLAW026&amp;n=185667&amp;dst=100292" TargetMode = "External"/>
	<Relationship Id="rId274" Type="http://schemas.openxmlformats.org/officeDocument/2006/relationships/hyperlink" Target="https://login.consultant.ru/link/?req=doc&amp;base=RLAW026&amp;n=194529&amp;dst=100005" TargetMode = "External"/>
	<Relationship Id="rId275" Type="http://schemas.openxmlformats.org/officeDocument/2006/relationships/hyperlink" Target="https://login.consultant.ru/link/?req=doc&amp;base=RLAW026&amp;n=205808&amp;dst=100131" TargetMode = "External"/>
	<Relationship Id="rId276" Type="http://schemas.openxmlformats.org/officeDocument/2006/relationships/hyperlink" Target="https://login.consultant.ru/link/?req=doc&amp;base=RLAW026&amp;n=194529&amp;dst=100052" TargetMode = "External"/>
	<Relationship Id="rId277" Type="http://schemas.openxmlformats.org/officeDocument/2006/relationships/hyperlink" Target="https://login.consultant.ru/link/?req=doc&amp;base=RLAW026&amp;n=205808&amp;dst=100132" TargetMode = "External"/>
	<Relationship Id="rId278" Type="http://schemas.openxmlformats.org/officeDocument/2006/relationships/hyperlink" Target="https://login.consultant.ru/link/?req=doc&amp;base=RLAW026&amp;n=185667&amp;dst=100515" TargetMode = "External"/>
	<Relationship Id="rId279" Type="http://schemas.openxmlformats.org/officeDocument/2006/relationships/hyperlink" Target="https://login.consultant.ru/link/?req=doc&amp;base=RLAW026&amp;n=194529&amp;dst=100005" TargetMode = "External"/>
	<Relationship Id="rId280" Type="http://schemas.openxmlformats.org/officeDocument/2006/relationships/hyperlink" Target="https://login.consultant.ru/link/?req=doc&amp;base=RLAW026&amp;n=205808&amp;dst=100135" TargetMode = "External"/>
	<Relationship Id="rId281" Type="http://schemas.openxmlformats.org/officeDocument/2006/relationships/hyperlink" Target="https://login.consultant.ru/link/?req=doc&amp;base=LAW&amp;n=439201&amp;dst=100278" TargetMode = "External"/>
	<Relationship Id="rId282" Type="http://schemas.openxmlformats.org/officeDocument/2006/relationships/hyperlink" Target="https://login.consultant.ru/link/?req=doc&amp;base=LAW&amp;n=80028&amp;dst=100018" TargetMode = "External"/>
	<Relationship Id="rId283" Type="http://schemas.openxmlformats.org/officeDocument/2006/relationships/hyperlink" Target="https://login.consultant.ru/link/?req=doc&amp;base=RLAW026&amp;n=185667&amp;dst=100518" TargetMode = "External"/>
	<Relationship Id="rId284" Type="http://schemas.openxmlformats.org/officeDocument/2006/relationships/hyperlink" Target="https://login.consultant.ru/link/?req=doc&amp;base=RLAW026&amp;n=194529&amp;dst=100005" TargetMode = "External"/>
	<Relationship Id="rId285" Type="http://schemas.openxmlformats.org/officeDocument/2006/relationships/header" Target="header2.xml"/>
	<Relationship Id="rId286" Type="http://schemas.openxmlformats.org/officeDocument/2006/relationships/footer" Target="footer2.xml"/>
	<Relationship Id="rId287" Type="http://schemas.openxmlformats.org/officeDocument/2006/relationships/hyperlink" Target="https://login.consultant.ru/link/?req=doc&amp;base=RLAW026&amp;n=185667&amp;dst=100659" TargetMode = "External"/>
	<Relationship Id="rId288" Type="http://schemas.openxmlformats.org/officeDocument/2006/relationships/hyperlink" Target="https://login.consultant.ru/link/?req=doc&amp;base=RLAW026&amp;n=194529&amp;dst=100005" TargetMode = "External"/>
	<Relationship Id="rId289" Type="http://schemas.openxmlformats.org/officeDocument/2006/relationships/hyperlink" Target="https://login.consultant.ru/link/?req=doc&amp;base=RLAW026&amp;n=205808&amp;dst=100136" TargetMode = "External"/>
	<Relationship Id="rId290" Type="http://schemas.openxmlformats.org/officeDocument/2006/relationships/hyperlink" Target="https://login.consultant.ru/link/?req=doc&amp;base=RLAW026&amp;n=185667&amp;dst=100125" TargetMode = "External"/>
	<Relationship Id="rId291" Type="http://schemas.openxmlformats.org/officeDocument/2006/relationships/hyperlink" Target="https://login.consultant.ru/link/?req=doc&amp;base=RLAW026&amp;n=194529&amp;dst=1000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10.09.2021 N 565-п
(ред. от 09.10.2023)
"Об утверждении порядка предоставления грантов в форме субсидий субъектам малого и среднего предпринимательства, осуществляющим деятельность в сфере социального предпринимательства, и (или) субъектам малого и среднего предпринимательства, созданным физическими лицами в возрасте до 25 лет включительно"
(с изм. и доп., вступающими в силу с 01.01.2024)</dc:title>
  <dcterms:created xsi:type="dcterms:W3CDTF">2024-01-31T09:36:44Z</dcterms:created>
</cp:coreProperties>
</file>