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E545" w14:textId="77777777" w:rsidR="00F0135E" w:rsidRPr="006F3840" w:rsidRDefault="00F0135E" w:rsidP="00F0135E">
      <w:pPr>
        <w:ind w:firstLine="709"/>
        <w:contextualSpacing/>
        <w:jc w:val="right"/>
        <w:rPr>
          <w:b/>
          <w:bCs/>
          <w:sz w:val="22"/>
          <w:szCs w:val="22"/>
        </w:rPr>
      </w:pPr>
      <w:r w:rsidRPr="006F3840">
        <w:rPr>
          <w:b/>
          <w:bCs/>
          <w:sz w:val="22"/>
          <w:szCs w:val="22"/>
        </w:rPr>
        <w:t>Приложение № 1</w:t>
      </w:r>
    </w:p>
    <w:p w14:paraId="21798845" w14:textId="77777777" w:rsidR="00F0135E" w:rsidRPr="006F3840" w:rsidRDefault="00F0135E" w:rsidP="00F0135E">
      <w:pPr>
        <w:shd w:val="clear" w:color="auto" w:fill="FFFFFF"/>
        <w:ind w:right="-5"/>
        <w:jc w:val="right"/>
        <w:rPr>
          <w:bCs/>
          <w:sz w:val="22"/>
          <w:szCs w:val="22"/>
        </w:rPr>
      </w:pPr>
      <w:r w:rsidRPr="006F3840">
        <w:rPr>
          <w:bCs/>
          <w:sz w:val="22"/>
          <w:szCs w:val="22"/>
        </w:rPr>
        <w:t>к Положению о предоставлении поручительств</w:t>
      </w:r>
    </w:p>
    <w:p w14:paraId="4E6D90D0" w14:textId="77777777" w:rsidR="00F0135E" w:rsidRDefault="00F0135E" w:rsidP="00F0135E">
      <w:pPr>
        <w:shd w:val="clear" w:color="auto" w:fill="FFFFFF"/>
        <w:ind w:right="-5"/>
        <w:jc w:val="right"/>
        <w:rPr>
          <w:bCs/>
          <w:sz w:val="22"/>
          <w:szCs w:val="22"/>
        </w:rPr>
      </w:pPr>
      <w:r w:rsidRPr="006F3840">
        <w:rPr>
          <w:bCs/>
          <w:sz w:val="22"/>
          <w:szCs w:val="22"/>
        </w:rPr>
        <w:t>Фонда «Инвестиционное агентство Тюменской области»</w:t>
      </w:r>
    </w:p>
    <w:p w14:paraId="5C595BEB" w14:textId="77777777" w:rsidR="00F0135E" w:rsidRPr="006F3840" w:rsidRDefault="00F0135E" w:rsidP="00F0135E">
      <w:pPr>
        <w:shd w:val="clear" w:color="auto" w:fill="FFFFFF"/>
        <w:ind w:right="-5"/>
        <w:jc w:val="right"/>
        <w:rPr>
          <w:bCs/>
          <w:color w:val="FF0000"/>
          <w:sz w:val="22"/>
          <w:szCs w:val="22"/>
        </w:rPr>
      </w:pPr>
      <w:r w:rsidRPr="006F3840">
        <w:rPr>
          <w:bCs/>
          <w:sz w:val="22"/>
          <w:szCs w:val="22"/>
        </w:rPr>
        <w:t xml:space="preserve">по кредитным договорам (продукт – </w:t>
      </w:r>
      <w:r>
        <w:rPr>
          <w:sz w:val="22"/>
          <w:szCs w:val="22"/>
        </w:rPr>
        <w:t>Поточное кредитование</w:t>
      </w:r>
      <w:r w:rsidRPr="006F3840">
        <w:rPr>
          <w:bCs/>
          <w:sz w:val="22"/>
          <w:szCs w:val="22"/>
        </w:rPr>
        <w:t>)</w:t>
      </w:r>
    </w:p>
    <w:p w14:paraId="1587ECB9" w14:textId="77777777" w:rsidR="00A32C3F" w:rsidRPr="007744D9" w:rsidRDefault="00A32C3F" w:rsidP="00A32C3F">
      <w:pPr>
        <w:spacing w:line="360" w:lineRule="auto"/>
        <w:jc w:val="center"/>
        <w:outlineLvl w:val="0"/>
        <w:rPr>
          <w:b/>
        </w:rPr>
      </w:pPr>
    </w:p>
    <w:p w14:paraId="7F8D781D" w14:textId="77777777" w:rsidR="00F0135E" w:rsidRDefault="00A32C3F" w:rsidP="00A32C3F">
      <w:pPr>
        <w:tabs>
          <w:tab w:val="center" w:pos="4705"/>
          <w:tab w:val="left" w:pos="7155"/>
        </w:tabs>
        <w:jc w:val="left"/>
        <w:rPr>
          <w:rStyle w:val="af0"/>
          <w:sz w:val="32"/>
          <w:szCs w:val="32"/>
        </w:rPr>
      </w:pPr>
      <w:r>
        <w:rPr>
          <w:rStyle w:val="af0"/>
          <w:sz w:val="32"/>
          <w:szCs w:val="32"/>
        </w:rPr>
        <w:tab/>
      </w:r>
    </w:p>
    <w:p w14:paraId="3B47926A" w14:textId="77777777" w:rsidR="00DB797A" w:rsidRPr="00DB797A" w:rsidRDefault="00A32C3F" w:rsidP="00DB797A">
      <w:pPr>
        <w:tabs>
          <w:tab w:val="center" w:pos="4705"/>
          <w:tab w:val="left" w:pos="7155"/>
        </w:tabs>
        <w:jc w:val="center"/>
        <w:rPr>
          <w:rStyle w:val="af0"/>
          <w:sz w:val="24"/>
          <w:szCs w:val="24"/>
        </w:rPr>
      </w:pPr>
      <w:r w:rsidRPr="00DB797A">
        <w:rPr>
          <w:rStyle w:val="af0"/>
          <w:sz w:val="24"/>
          <w:szCs w:val="24"/>
        </w:rPr>
        <w:t>С</w:t>
      </w:r>
      <w:r w:rsidR="0001321F" w:rsidRPr="00DB797A">
        <w:rPr>
          <w:rStyle w:val="af0"/>
          <w:sz w:val="24"/>
          <w:szCs w:val="24"/>
        </w:rPr>
        <w:t xml:space="preserve">оглашение </w:t>
      </w:r>
    </w:p>
    <w:p w14:paraId="2FDE466A" w14:textId="6CFC17BE" w:rsidR="00A32C3F" w:rsidRPr="00091537" w:rsidRDefault="0001321F" w:rsidP="00DB797A">
      <w:pPr>
        <w:tabs>
          <w:tab w:val="center" w:pos="4705"/>
          <w:tab w:val="left" w:pos="7155"/>
        </w:tabs>
        <w:jc w:val="center"/>
      </w:pPr>
      <w:r w:rsidRPr="00DB797A">
        <w:rPr>
          <w:rStyle w:val="af0"/>
          <w:sz w:val="24"/>
          <w:szCs w:val="24"/>
        </w:rPr>
        <w:t xml:space="preserve">о </w:t>
      </w:r>
      <w:r w:rsidR="00DB797A" w:rsidRPr="00DB797A">
        <w:rPr>
          <w:rStyle w:val="af0"/>
          <w:sz w:val="24"/>
          <w:szCs w:val="24"/>
        </w:rPr>
        <w:t xml:space="preserve">предоставлении </w:t>
      </w:r>
      <w:bookmarkStart w:id="0" w:name="_Hlk212126798"/>
      <w:r w:rsidR="00DB797A" w:rsidRPr="00DB797A">
        <w:rPr>
          <w:b/>
          <w:bCs/>
          <w:sz w:val="24"/>
          <w:szCs w:val="24"/>
        </w:rPr>
        <w:t xml:space="preserve">поручительств по кредитным договорам </w:t>
      </w:r>
      <w:r w:rsidR="00DB797A" w:rsidRPr="00091537">
        <w:rPr>
          <w:rStyle w:val="af0"/>
          <w:sz w:val="24"/>
          <w:szCs w:val="24"/>
        </w:rPr>
        <w:t>по кредитному продукту</w:t>
      </w:r>
      <w:r w:rsidR="00DB797A" w:rsidRPr="00DB797A">
        <w:rPr>
          <w:rStyle w:val="af0"/>
          <w:b w:val="0"/>
          <w:bCs w:val="0"/>
          <w:sz w:val="24"/>
          <w:szCs w:val="24"/>
        </w:rPr>
        <w:t xml:space="preserve"> </w:t>
      </w:r>
      <w:r w:rsidR="00DB797A" w:rsidRPr="00091537">
        <w:rPr>
          <w:rStyle w:val="af0"/>
          <w:sz w:val="24"/>
          <w:szCs w:val="24"/>
        </w:rPr>
        <w:t xml:space="preserve">«Бизнес кредит с залогом» и его </w:t>
      </w:r>
      <w:proofErr w:type="spellStart"/>
      <w:r w:rsidR="00DB797A" w:rsidRPr="00091537">
        <w:rPr>
          <w:rStyle w:val="af0"/>
          <w:sz w:val="24"/>
          <w:szCs w:val="24"/>
        </w:rPr>
        <w:t>подпродуктам</w:t>
      </w:r>
      <w:proofErr w:type="spellEnd"/>
      <w:r w:rsidR="00DB797A" w:rsidRPr="00091537">
        <w:rPr>
          <w:rStyle w:val="af0"/>
          <w:sz w:val="24"/>
          <w:szCs w:val="24"/>
        </w:rPr>
        <w:t xml:space="preserve">» </w:t>
      </w:r>
      <w:r w:rsidR="00DB797A" w:rsidRPr="00091537">
        <w:rPr>
          <w:b/>
          <w:bCs/>
          <w:sz w:val="24"/>
          <w:szCs w:val="24"/>
        </w:rPr>
        <w:t>(продукт – Поточное кредитование)</w:t>
      </w:r>
      <w:r w:rsidR="00DB797A" w:rsidRPr="00091537">
        <w:rPr>
          <w:sz w:val="22"/>
          <w:szCs w:val="22"/>
        </w:rPr>
        <w:t xml:space="preserve"> </w:t>
      </w:r>
      <w:bookmarkEnd w:id="0"/>
      <w:r w:rsidR="00A32C3F" w:rsidRPr="00091537">
        <w:br w:type="page"/>
      </w:r>
    </w:p>
    <w:p w14:paraId="54C2665F" w14:textId="77777777" w:rsidR="00A32C3F" w:rsidRPr="007E15EB" w:rsidRDefault="00A32C3F" w:rsidP="00A32C3F">
      <w:pPr>
        <w:pStyle w:val="1"/>
        <w:spacing w:before="240"/>
        <w:rPr>
          <w:rFonts w:ascii="Times New Roman" w:hAnsi="Times New Roman" w:cs="Times New Roman"/>
          <w:color w:val="auto"/>
          <w:sz w:val="25"/>
          <w:szCs w:val="25"/>
        </w:rPr>
      </w:pPr>
      <w:bookmarkStart w:id="1" w:name="_Toc132975379"/>
      <w:r w:rsidRPr="007E15EB">
        <w:rPr>
          <w:rFonts w:ascii="Times New Roman" w:hAnsi="Times New Roman" w:cs="Times New Roman"/>
          <w:color w:val="auto"/>
          <w:sz w:val="25"/>
          <w:szCs w:val="25"/>
        </w:rPr>
        <w:lastRenderedPageBreak/>
        <w:t>ТЕРМИНЫ, ИСПОЛЬЗУЕМЫЕ В СОГЛАШЕНИИ</w:t>
      </w:r>
      <w:bookmarkEnd w:id="1"/>
    </w:p>
    <w:p w14:paraId="40DE2EC4" w14:textId="77777777" w:rsidR="00A32C3F" w:rsidRPr="007E15EB" w:rsidRDefault="00A32C3F" w:rsidP="00A32C3F">
      <w:pPr>
        <w:rPr>
          <w:sz w:val="25"/>
          <w:szCs w:val="25"/>
        </w:rPr>
      </w:pPr>
      <w:r w:rsidRPr="007E15EB">
        <w:rPr>
          <w:sz w:val="25"/>
          <w:szCs w:val="25"/>
        </w:rPr>
        <w:tab/>
      </w:r>
    </w:p>
    <w:p w14:paraId="26B4F065" w14:textId="77777777" w:rsidR="00A32C3F" w:rsidRPr="007E15EB" w:rsidRDefault="00A32C3F" w:rsidP="00A32C3F">
      <w:pPr>
        <w:rPr>
          <w:sz w:val="25"/>
          <w:szCs w:val="25"/>
        </w:rPr>
      </w:pPr>
      <w:r w:rsidRPr="007E15EB">
        <w:rPr>
          <w:sz w:val="25"/>
          <w:szCs w:val="25"/>
        </w:rPr>
        <w:t>В Соглашении используются следующие термины:</w:t>
      </w:r>
    </w:p>
    <w:p w14:paraId="06770858" w14:textId="77777777" w:rsidR="00A32C3F" w:rsidRPr="007E15EB" w:rsidRDefault="00A32C3F" w:rsidP="00A32C3F">
      <w:pPr>
        <w:widowControl w:val="0"/>
        <w:spacing w:before="120"/>
        <w:rPr>
          <w:rFonts w:eastAsia="Calibri"/>
          <w:color w:val="000000"/>
          <w:sz w:val="25"/>
          <w:szCs w:val="25"/>
          <w:lang w:eastAsia="en-US" w:bidi="ru-RU"/>
        </w:rPr>
      </w:pPr>
      <w:r w:rsidRPr="007E15EB">
        <w:rPr>
          <w:rFonts w:eastAsia="Calibri"/>
          <w:b/>
          <w:color w:val="000000"/>
          <w:sz w:val="25"/>
          <w:szCs w:val="25"/>
          <w:lang w:eastAsia="en-US" w:bidi="ru-RU"/>
        </w:rPr>
        <w:t xml:space="preserve">Региональная гарантийная организация (РГО) </w:t>
      </w:r>
      <w:r w:rsidRPr="007E15EB">
        <w:rPr>
          <w:rFonts w:eastAsia="Calibri"/>
          <w:color w:val="000000"/>
          <w:sz w:val="25"/>
          <w:szCs w:val="25"/>
          <w:lang w:eastAsia="en-US" w:bidi="ru-RU"/>
        </w:rPr>
        <w:t>- юридическое лицо, одним из учредителей (участников) которого является субъект Российской Федерации и которое осуществляет в качестве основного вида деятельности деятельность, направленную на обеспечение доступа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предпринимательства, к кредитным и иным финансовым ресурсам, развитие системы поручительств и независимых гарантий по основанным на кредитных договорах, договорах займа, договорах финансовой аренды (лизинга), договорах о предоставлении банковской гарантии и иных договорах обязательствам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предпринимательства.</w:t>
      </w:r>
    </w:p>
    <w:p w14:paraId="1F87CD8B" w14:textId="0C37E7D4" w:rsidR="00A32C3F" w:rsidRPr="00E332AE" w:rsidRDefault="00F0135E" w:rsidP="00A32C3F">
      <w:pPr>
        <w:widowControl w:val="0"/>
        <w:spacing w:before="120"/>
        <w:rPr>
          <w:b/>
          <w:bCs/>
        </w:rPr>
      </w:pPr>
      <w:r>
        <w:rPr>
          <w:rStyle w:val="af0"/>
        </w:rPr>
        <w:t xml:space="preserve">Фонд «Инвестиционное агентство Тюменской области» </w:t>
      </w:r>
      <w:r w:rsidR="00E332AE">
        <w:rPr>
          <w:rStyle w:val="af0"/>
        </w:rPr>
        <w:t xml:space="preserve">ИНН 7202098425 625000, </w:t>
      </w:r>
      <w:proofErr w:type="spellStart"/>
      <w:r w:rsidR="00E332AE">
        <w:rPr>
          <w:rStyle w:val="af0"/>
        </w:rPr>
        <w:t>г.Тюмень</w:t>
      </w:r>
      <w:proofErr w:type="spellEnd"/>
      <w:r w:rsidR="00E332AE">
        <w:rPr>
          <w:rStyle w:val="af0"/>
        </w:rPr>
        <w:t xml:space="preserve">, </w:t>
      </w:r>
      <w:proofErr w:type="spellStart"/>
      <w:r w:rsidR="00E332AE">
        <w:rPr>
          <w:rStyle w:val="af0"/>
        </w:rPr>
        <w:t>ул.Хохрякова</w:t>
      </w:r>
      <w:proofErr w:type="spellEnd"/>
      <w:r w:rsidR="00E332AE">
        <w:rPr>
          <w:rStyle w:val="af0"/>
        </w:rPr>
        <w:t xml:space="preserve">, д. 53, </w:t>
      </w:r>
      <w:r w:rsidR="00A32C3F" w:rsidRPr="00F24D68">
        <w:rPr>
          <w:rFonts w:eastAsia="Calibri"/>
          <w:i/>
          <w:sz w:val="25"/>
          <w:szCs w:val="25"/>
          <w:lang w:eastAsia="en-US"/>
        </w:rPr>
        <w:t xml:space="preserve">оказывающая гарантийную поддержку субъектам малого и среднего предпринимательства </w:t>
      </w:r>
      <w:r w:rsidR="00A32C3F">
        <w:rPr>
          <w:rFonts w:eastAsia="Calibri"/>
          <w:i/>
          <w:sz w:val="25"/>
          <w:szCs w:val="25"/>
          <w:lang w:eastAsia="en-US"/>
        </w:rPr>
        <w:t>Тюменской</w:t>
      </w:r>
      <w:r w:rsidR="00A32C3F" w:rsidRPr="00F24D68">
        <w:rPr>
          <w:rFonts w:eastAsia="Calibri"/>
          <w:i/>
          <w:sz w:val="25"/>
          <w:szCs w:val="25"/>
          <w:lang w:eastAsia="en-US"/>
        </w:rPr>
        <w:t xml:space="preserve"> области  в соответствии со ст. 17.1 Федерального закона от «24» июля 2007 года № 209-ФЗ «О развитии малого и среднего предпринимательства в Российской Федерации».</w:t>
      </w:r>
    </w:p>
    <w:p w14:paraId="37E52277" w14:textId="77777777" w:rsidR="00A32C3F" w:rsidRPr="007E15EB" w:rsidRDefault="00A32C3F" w:rsidP="00A32C3F">
      <w:pPr>
        <w:widowControl w:val="0"/>
        <w:spacing w:before="120"/>
        <w:rPr>
          <w:rFonts w:eastAsia="Calibri"/>
          <w:sz w:val="25"/>
          <w:szCs w:val="25"/>
          <w:lang w:eastAsia="en-US"/>
        </w:rPr>
      </w:pPr>
      <w:r w:rsidRPr="007E15EB">
        <w:rPr>
          <w:rFonts w:eastAsia="Calibri"/>
          <w:b/>
          <w:sz w:val="25"/>
          <w:szCs w:val="25"/>
          <w:lang w:eastAsia="en-US"/>
        </w:rPr>
        <w:t xml:space="preserve">Субъекты МСП </w:t>
      </w:r>
      <w:r>
        <w:rPr>
          <w:rFonts w:eastAsia="Calibri"/>
          <w:b/>
          <w:sz w:val="25"/>
          <w:szCs w:val="25"/>
          <w:lang w:eastAsia="en-US"/>
        </w:rPr>
        <w:t xml:space="preserve">Тюменской области </w:t>
      </w:r>
      <w:r w:rsidRPr="007E15EB">
        <w:rPr>
          <w:rFonts w:eastAsia="Calibri"/>
          <w:sz w:val="25"/>
          <w:szCs w:val="25"/>
          <w:lang w:eastAsia="en-US"/>
        </w:rPr>
        <w:t>– хозяйствующие субъекты (юридические лица и индивидуальные предприниматели), отнесенные Федеральным законом от «24» июля 2007 года № 209-ФЗ «О развитии малого и среднего предпринимательства в Российской Федерации» к субъектам малого и среднего предпринимательства, и</w:t>
      </w:r>
      <w:r w:rsidRPr="007E15EB">
        <w:rPr>
          <w:sz w:val="25"/>
          <w:szCs w:val="25"/>
        </w:rPr>
        <w:t xml:space="preserve">меющие адрес государственной регистрации на территории </w:t>
      </w:r>
      <w:r>
        <w:rPr>
          <w:rFonts w:eastAsia="Calibri"/>
          <w:b/>
          <w:sz w:val="25"/>
          <w:szCs w:val="25"/>
          <w:lang w:eastAsia="en-US"/>
        </w:rPr>
        <w:t>Тюменской области.</w:t>
      </w:r>
      <w:r w:rsidRPr="0085579F" w:rsidDel="000C5B57">
        <w:rPr>
          <w:sz w:val="25"/>
          <w:szCs w:val="25"/>
          <w:highlight w:val="yellow"/>
        </w:rPr>
        <w:t xml:space="preserve"> </w:t>
      </w:r>
    </w:p>
    <w:p w14:paraId="6C680851" w14:textId="77777777" w:rsidR="00A32C3F" w:rsidRPr="007E15EB" w:rsidRDefault="00A32C3F" w:rsidP="00A32C3F">
      <w:pPr>
        <w:widowControl w:val="0"/>
        <w:spacing w:before="120"/>
        <w:rPr>
          <w:rFonts w:eastAsia="Calibri"/>
          <w:sz w:val="25"/>
          <w:szCs w:val="25"/>
          <w:lang w:eastAsia="en-US"/>
        </w:rPr>
      </w:pPr>
      <w:r w:rsidRPr="007E15EB">
        <w:rPr>
          <w:rFonts w:eastAsia="Calibri"/>
          <w:b/>
          <w:sz w:val="25"/>
          <w:szCs w:val="25"/>
          <w:lang w:eastAsia="en-US"/>
        </w:rPr>
        <w:t>Заемщик/Должник</w:t>
      </w:r>
      <w:r w:rsidRPr="007E15EB">
        <w:rPr>
          <w:rFonts w:eastAsia="Calibri"/>
          <w:sz w:val="25"/>
          <w:szCs w:val="25"/>
          <w:lang w:eastAsia="en-US"/>
        </w:rPr>
        <w:t xml:space="preserve"> (субъект МСП) – субъект МСП </w:t>
      </w:r>
      <w:r>
        <w:rPr>
          <w:rFonts w:eastAsia="Calibri"/>
          <w:b/>
          <w:sz w:val="25"/>
          <w:szCs w:val="25"/>
          <w:lang w:eastAsia="en-US"/>
        </w:rPr>
        <w:t>Тюменской област</w:t>
      </w:r>
      <w:r w:rsidRPr="00355958">
        <w:rPr>
          <w:rFonts w:eastAsia="Calibri"/>
          <w:b/>
          <w:sz w:val="25"/>
          <w:szCs w:val="25"/>
          <w:lang w:eastAsia="en-US"/>
        </w:rPr>
        <w:t>и</w:t>
      </w:r>
      <w:r w:rsidRPr="00355958">
        <w:rPr>
          <w:sz w:val="25"/>
          <w:szCs w:val="25"/>
        </w:rPr>
        <w:t xml:space="preserve">, </w:t>
      </w:r>
      <w:r w:rsidRPr="007E15EB">
        <w:rPr>
          <w:rFonts w:eastAsia="Calibri"/>
          <w:sz w:val="25"/>
          <w:szCs w:val="25"/>
          <w:lang w:eastAsia="en-US"/>
        </w:rPr>
        <w:t>получивший в Банке одобрение кредита в рамках Продукта.</w:t>
      </w:r>
    </w:p>
    <w:p w14:paraId="6E140A80" w14:textId="2399ABE7" w:rsidR="00A32C3F" w:rsidRDefault="00A32C3F" w:rsidP="00A32C3F">
      <w:pPr>
        <w:pStyle w:val="ad"/>
        <w:rPr>
          <w:sz w:val="25"/>
          <w:szCs w:val="25"/>
        </w:rPr>
      </w:pPr>
      <w:r w:rsidRPr="007E15EB">
        <w:rPr>
          <w:rFonts w:eastAsia="Calibri"/>
          <w:b/>
          <w:sz w:val="25"/>
          <w:szCs w:val="25"/>
          <w:lang w:eastAsia="en-US"/>
        </w:rPr>
        <w:t xml:space="preserve">Продукт </w:t>
      </w:r>
      <w:r w:rsidRPr="007E15EB">
        <w:rPr>
          <w:rFonts w:eastAsia="Calibri"/>
          <w:sz w:val="25"/>
          <w:szCs w:val="25"/>
          <w:lang w:eastAsia="en-US"/>
        </w:rPr>
        <w:t xml:space="preserve">– кредитный продукт «Бизнес кредит с залогом» и его </w:t>
      </w:r>
      <w:proofErr w:type="spellStart"/>
      <w:r w:rsidRPr="007E15EB">
        <w:rPr>
          <w:rFonts w:eastAsia="Calibri"/>
          <w:sz w:val="25"/>
          <w:szCs w:val="25"/>
          <w:lang w:eastAsia="en-US"/>
        </w:rPr>
        <w:t>подпродукты</w:t>
      </w:r>
      <w:proofErr w:type="spellEnd"/>
      <w:r w:rsidRPr="007E15EB">
        <w:rPr>
          <w:rFonts w:eastAsia="Calibri"/>
          <w:sz w:val="25"/>
          <w:szCs w:val="25"/>
          <w:lang w:eastAsia="en-US"/>
        </w:rPr>
        <w:t>, реализуемый Банком в рамках «Программы Поточного кредитования» (утвержденной Банком), посредством рассмотрения заявок</w:t>
      </w:r>
      <w:r w:rsidRPr="001E17ED">
        <w:t xml:space="preserve"> </w:t>
      </w:r>
      <w:r w:rsidRPr="00601C03">
        <w:rPr>
          <w:sz w:val="25"/>
          <w:szCs w:val="25"/>
        </w:rPr>
        <w:t>в соответствии с внутренними методиками Банка.</w:t>
      </w:r>
    </w:p>
    <w:p w14:paraId="6C2656FF" w14:textId="77777777" w:rsidR="00A32C3F" w:rsidRPr="007E15EB" w:rsidRDefault="00A32C3F" w:rsidP="00A32C3F">
      <w:pPr>
        <w:widowControl w:val="0"/>
        <w:spacing w:before="120"/>
        <w:rPr>
          <w:rFonts w:eastAsia="Calibri"/>
          <w:sz w:val="25"/>
          <w:szCs w:val="25"/>
          <w:lang w:eastAsia="en-US"/>
        </w:rPr>
      </w:pPr>
      <w:r w:rsidRPr="007E15EB">
        <w:rPr>
          <w:rFonts w:eastAsia="Calibri"/>
          <w:b/>
          <w:sz w:val="25"/>
          <w:szCs w:val="25"/>
          <w:lang w:eastAsia="en-US"/>
        </w:rPr>
        <w:t>Общие условия договора поручительства</w:t>
      </w:r>
      <w:r w:rsidRPr="007E15EB">
        <w:rPr>
          <w:rFonts w:eastAsia="Calibri"/>
          <w:sz w:val="25"/>
          <w:szCs w:val="25"/>
          <w:lang w:eastAsia="en-US"/>
        </w:rPr>
        <w:t xml:space="preserve"> – общие условия поручительства Фонда перед Банком по обязательствам Заемщика по кредитному договору по Продукту, опубликованные на Сайте Фонда (</w:t>
      </w:r>
      <w:r w:rsidRPr="007E15EB">
        <w:rPr>
          <w:rFonts w:eastAsia="Calibri"/>
          <w:i/>
          <w:sz w:val="25"/>
          <w:szCs w:val="25"/>
          <w:lang w:eastAsia="en-US"/>
        </w:rPr>
        <w:t>Приложение № 1</w:t>
      </w:r>
      <w:r w:rsidRPr="007E15EB">
        <w:rPr>
          <w:rFonts w:eastAsia="Calibri"/>
          <w:sz w:val="25"/>
          <w:szCs w:val="25"/>
          <w:lang w:eastAsia="en-US"/>
        </w:rPr>
        <w:t xml:space="preserve"> к Соглашению).</w:t>
      </w:r>
    </w:p>
    <w:p w14:paraId="15E46A94" w14:textId="77777777" w:rsidR="00A32C3F" w:rsidRPr="007E15EB" w:rsidRDefault="00A32C3F" w:rsidP="00A32C3F">
      <w:pPr>
        <w:widowControl w:val="0"/>
        <w:spacing w:before="120"/>
        <w:rPr>
          <w:rFonts w:eastAsia="Calibri"/>
          <w:sz w:val="25"/>
          <w:szCs w:val="25"/>
          <w:lang w:eastAsia="en-US"/>
        </w:rPr>
      </w:pPr>
      <w:r w:rsidRPr="007E15EB">
        <w:rPr>
          <w:rFonts w:eastAsia="Calibri"/>
          <w:b/>
          <w:sz w:val="25"/>
          <w:szCs w:val="25"/>
          <w:lang w:eastAsia="en-US"/>
        </w:rPr>
        <w:t>Индивидуальные условия</w:t>
      </w:r>
      <w:r w:rsidRPr="007E15EB">
        <w:rPr>
          <w:rFonts w:eastAsia="Calibri"/>
          <w:sz w:val="25"/>
          <w:szCs w:val="25"/>
          <w:lang w:eastAsia="en-US"/>
        </w:rPr>
        <w:t xml:space="preserve"> </w:t>
      </w:r>
      <w:r w:rsidRPr="007E15EB">
        <w:rPr>
          <w:rFonts w:eastAsia="Calibri"/>
          <w:b/>
          <w:sz w:val="25"/>
          <w:szCs w:val="25"/>
          <w:lang w:eastAsia="en-US"/>
        </w:rPr>
        <w:t>поручительства</w:t>
      </w:r>
      <w:r w:rsidRPr="007E15EB">
        <w:rPr>
          <w:rFonts w:eastAsia="Calibri"/>
          <w:sz w:val="25"/>
          <w:szCs w:val="25"/>
          <w:lang w:eastAsia="en-US"/>
        </w:rPr>
        <w:t xml:space="preserve"> – условия договора поручительства, относящиеся к расчетным величинам (срок, сумма), реквизитам Заемщика и кредитного договора, которые формируются исходя из параметров кредита и поручительства на основании положительно рассмотренной Заявки на поручительство. Индивидуальные условия отображаются в Заявлении о присоединении.</w:t>
      </w:r>
    </w:p>
    <w:p w14:paraId="76D95FA4" w14:textId="77777777" w:rsidR="00A32C3F" w:rsidRPr="007E15EB" w:rsidRDefault="00A32C3F" w:rsidP="00A32C3F">
      <w:pPr>
        <w:widowControl w:val="0"/>
        <w:spacing w:before="120"/>
        <w:rPr>
          <w:rFonts w:eastAsia="Calibri"/>
          <w:sz w:val="25"/>
          <w:szCs w:val="25"/>
          <w:lang w:eastAsia="en-US"/>
        </w:rPr>
      </w:pPr>
      <w:r w:rsidRPr="007E15EB">
        <w:rPr>
          <w:rFonts w:eastAsia="Calibri"/>
          <w:b/>
          <w:sz w:val="25"/>
          <w:szCs w:val="25"/>
          <w:lang w:eastAsia="en-US"/>
        </w:rPr>
        <w:t>Заявление о присоединении</w:t>
      </w:r>
      <w:r w:rsidRPr="007E15EB">
        <w:rPr>
          <w:rFonts w:eastAsia="Calibri"/>
          <w:sz w:val="25"/>
          <w:szCs w:val="25"/>
          <w:lang w:eastAsia="en-US"/>
        </w:rPr>
        <w:t xml:space="preserve"> – заявление Банка (по форме </w:t>
      </w:r>
      <w:r w:rsidRPr="007E15EB">
        <w:rPr>
          <w:rFonts w:eastAsia="Calibri"/>
          <w:i/>
          <w:sz w:val="25"/>
          <w:szCs w:val="25"/>
          <w:lang w:eastAsia="en-US"/>
        </w:rPr>
        <w:t>Приложения № 2</w:t>
      </w:r>
      <w:r w:rsidRPr="007E15EB">
        <w:rPr>
          <w:rFonts w:eastAsia="Calibri"/>
          <w:sz w:val="25"/>
          <w:szCs w:val="25"/>
          <w:lang w:eastAsia="en-US"/>
        </w:rPr>
        <w:t xml:space="preserve"> к Соглашению) о присоединении к договору поручительства (Общие условия договора поручительства), содержащее Индивидуальные условия поручительства отдельно по каждому Заемщику.</w:t>
      </w:r>
    </w:p>
    <w:p w14:paraId="0C371968" w14:textId="77777777" w:rsidR="00A32C3F" w:rsidRPr="007E15EB" w:rsidRDefault="00A32C3F" w:rsidP="00A32C3F">
      <w:pPr>
        <w:widowControl w:val="0"/>
        <w:spacing w:before="120"/>
        <w:rPr>
          <w:rFonts w:eastAsia="Calibri"/>
          <w:sz w:val="25"/>
          <w:szCs w:val="25"/>
          <w:lang w:eastAsia="en-US"/>
        </w:rPr>
      </w:pPr>
      <w:r w:rsidRPr="007E15EB">
        <w:rPr>
          <w:rFonts w:eastAsia="Calibri"/>
          <w:b/>
          <w:sz w:val="25"/>
          <w:szCs w:val="25"/>
          <w:lang w:eastAsia="en-US"/>
        </w:rPr>
        <w:t>Заявка на кредит</w:t>
      </w:r>
      <w:r w:rsidRPr="007E15EB">
        <w:rPr>
          <w:rFonts w:eastAsia="Calibri"/>
          <w:sz w:val="25"/>
          <w:szCs w:val="25"/>
          <w:lang w:eastAsia="en-US"/>
        </w:rPr>
        <w:t xml:space="preserve"> – </w:t>
      </w:r>
      <w:r w:rsidRPr="007E15EB">
        <w:rPr>
          <w:bCs/>
          <w:sz w:val="25"/>
          <w:szCs w:val="25"/>
        </w:rPr>
        <w:t xml:space="preserve">документ по форме Банка, предоставляемый Заемщиком в целях запроса Продукта, </w:t>
      </w:r>
      <w:r w:rsidRPr="007E15EB">
        <w:rPr>
          <w:rFonts w:eastAsia="Calibri"/>
          <w:sz w:val="25"/>
          <w:szCs w:val="25"/>
          <w:lang w:eastAsia="en-US"/>
        </w:rPr>
        <w:t>содержащий информацию о параметрах кредита, необходимого Заемщику, и сведения о Заемщике, установленные правилами Продукта.</w:t>
      </w:r>
    </w:p>
    <w:p w14:paraId="38D663F4" w14:textId="77777777" w:rsidR="00A32C3F" w:rsidRPr="007E15EB" w:rsidRDefault="00A32C3F" w:rsidP="00A32C3F">
      <w:pPr>
        <w:widowControl w:val="0"/>
        <w:spacing w:before="120"/>
        <w:rPr>
          <w:rFonts w:eastAsia="Calibri"/>
          <w:sz w:val="25"/>
          <w:szCs w:val="25"/>
          <w:lang w:eastAsia="en-US"/>
        </w:rPr>
      </w:pPr>
      <w:r w:rsidRPr="007E15EB">
        <w:rPr>
          <w:rFonts w:eastAsia="Calibri"/>
          <w:b/>
          <w:sz w:val="25"/>
          <w:szCs w:val="25"/>
          <w:lang w:eastAsia="en-US"/>
        </w:rPr>
        <w:t>Заявка на поручительство</w:t>
      </w:r>
      <w:r w:rsidRPr="007E15EB">
        <w:rPr>
          <w:rFonts w:eastAsia="Calibri"/>
          <w:sz w:val="25"/>
          <w:szCs w:val="25"/>
          <w:lang w:eastAsia="en-US"/>
        </w:rPr>
        <w:t xml:space="preserve"> – намерение Заемщика получить поручительство Фонда по </w:t>
      </w:r>
      <w:r w:rsidRPr="007E15EB">
        <w:rPr>
          <w:rFonts w:eastAsia="Calibri"/>
          <w:sz w:val="25"/>
          <w:szCs w:val="25"/>
          <w:lang w:eastAsia="en-US"/>
        </w:rPr>
        <w:lastRenderedPageBreak/>
        <w:t>планируемому кредитному договору, с предоставлением информации о параметрах кредита и сведений о Заемщике, выраженное любым способом Банку на этапе подачи Заявки на кредит.</w:t>
      </w:r>
    </w:p>
    <w:p w14:paraId="13C551D3" w14:textId="1F27BE2E" w:rsidR="00A32C3F" w:rsidRPr="007E15EB" w:rsidRDefault="00A32C3F" w:rsidP="00A32C3F">
      <w:pPr>
        <w:widowControl w:val="0"/>
        <w:spacing w:before="120"/>
        <w:rPr>
          <w:rFonts w:eastAsia="Calibri"/>
          <w:color w:val="000000"/>
          <w:sz w:val="25"/>
          <w:szCs w:val="25"/>
          <w:lang w:eastAsia="en-US"/>
        </w:rPr>
      </w:pPr>
      <w:r w:rsidRPr="007E15EB">
        <w:rPr>
          <w:rFonts w:eastAsia="Calibri"/>
          <w:b/>
          <w:color w:val="000000"/>
          <w:sz w:val="25"/>
          <w:szCs w:val="25"/>
          <w:lang w:eastAsia="en-US"/>
        </w:rPr>
        <w:t xml:space="preserve">Электронный документооборот (ЭДО) </w:t>
      </w:r>
      <w:r w:rsidRPr="007E15EB">
        <w:rPr>
          <w:rFonts w:eastAsia="Calibri"/>
          <w:color w:val="000000"/>
          <w:sz w:val="25"/>
          <w:szCs w:val="25"/>
          <w:lang w:eastAsia="en-US"/>
        </w:rPr>
        <w:t>– обмен, передача и прием документов в электронном виде между Банком и Фондом посредством программного обеспечения «</w:t>
      </w:r>
      <w:proofErr w:type="spellStart"/>
      <w:r w:rsidRPr="007E15EB">
        <w:rPr>
          <w:rFonts w:eastAsia="Calibri"/>
          <w:color w:val="000000"/>
          <w:sz w:val="25"/>
          <w:szCs w:val="25"/>
          <w:lang w:eastAsia="en-US"/>
        </w:rPr>
        <w:t>Диадок</w:t>
      </w:r>
      <w:proofErr w:type="spellEnd"/>
      <w:r w:rsidRPr="007E15EB">
        <w:rPr>
          <w:rFonts w:eastAsia="Calibri"/>
          <w:color w:val="000000"/>
          <w:sz w:val="25"/>
          <w:szCs w:val="25"/>
          <w:lang w:eastAsia="en-US"/>
        </w:rPr>
        <w:t>» (ЗАО «ПФ «СКБ «Контур»)». На момент заключения настоящего Соглашения его Стороны являются участниками указанного ЭДО. При этом электронное взаимодействие в рамках настоящего Соглашения осуществляется без ущерба для подписания документов на бумажных носителях (если это необходимо).</w:t>
      </w:r>
      <w:r>
        <w:rPr>
          <w:rFonts w:eastAsia="Calibri"/>
          <w:color w:val="000000"/>
          <w:sz w:val="25"/>
          <w:szCs w:val="25"/>
          <w:lang w:eastAsia="en-US"/>
        </w:rPr>
        <w:t xml:space="preserve"> Время местное</w:t>
      </w:r>
      <w:r w:rsidR="00802684">
        <w:rPr>
          <w:rFonts w:eastAsia="Calibri"/>
          <w:color w:val="000000"/>
          <w:sz w:val="25"/>
          <w:szCs w:val="25"/>
          <w:lang w:eastAsia="en-US"/>
        </w:rPr>
        <w:t>:</w:t>
      </w:r>
      <w:r>
        <w:rPr>
          <w:rFonts w:eastAsia="Calibri"/>
          <w:color w:val="000000"/>
          <w:sz w:val="25"/>
          <w:szCs w:val="25"/>
          <w:lang w:eastAsia="en-US"/>
        </w:rPr>
        <w:t xml:space="preserve"> </w:t>
      </w:r>
      <w:proofErr w:type="spellStart"/>
      <w:r w:rsidR="00802684">
        <w:rPr>
          <w:rFonts w:eastAsia="Calibri"/>
          <w:color w:val="000000"/>
          <w:sz w:val="25"/>
          <w:szCs w:val="25"/>
          <w:lang w:eastAsia="en-US"/>
        </w:rPr>
        <w:t>г.Т</w:t>
      </w:r>
      <w:r>
        <w:rPr>
          <w:rFonts w:eastAsia="Calibri"/>
          <w:color w:val="000000"/>
          <w:sz w:val="25"/>
          <w:szCs w:val="25"/>
          <w:lang w:eastAsia="en-US"/>
        </w:rPr>
        <w:t>юмень</w:t>
      </w:r>
      <w:proofErr w:type="spellEnd"/>
      <w:r w:rsidR="00802684">
        <w:rPr>
          <w:rFonts w:eastAsia="Calibri"/>
          <w:color w:val="000000"/>
          <w:sz w:val="25"/>
          <w:szCs w:val="25"/>
          <w:lang w:eastAsia="en-US"/>
        </w:rPr>
        <w:t>.</w:t>
      </w:r>
    </w:p>
    <w:p w14:paraId="13E0B863" w14:textId="7AACC7E5" w:rsidR="00A32C3F" w:rsidRPr="007E15EB" w:rsidRDefault="00A32C3F" w:rsidP="00A32C3F">
      <w:pPr>
        <w:widowControl w:val="0"/>
        <w:spacing w:before="120"/>
        <w:rPr>
          <w:sz w:val="25"/>
          <w:szCs w:val="25"/>
        </w:rPr>
      </w:pPr>
      <w:r w:rsidRPr="007E15EB">
        <w:rPr>
          <w:b/>
          <w:sz w:val="25"/>
          <w:szCs w:val="25"/>
        </w:rPr>
        <w:t>Сайт Фонда</w:t>
      </w:r>
      <w:r w:rsidRPr="007E15EB">
        <w:rPr>
          <w:sz w:val="25"/>
          <w:szCs w:val="25"/>
        </w:rPr>
        <w:t xml:space="preserve"> – официальный сайт Фонда в сети Интернет </w:t>
      </w:r>
      <w:r w:rsidRPr="00365BFF">
        <w:rPr>
          <w:sz w:val="25"/>
          <w:szCs w:val="25"/>
        </w:rPr>
        <w:t>https://мойбизнес-72.рф</w:t>
      </w:r>
    </w:p>
    <w:p w14:paraId="2F0E724D" w14:textId="77777777" w:rsidR="00A32C3F" w:rsidRPr="007E15EB" w:rsidRDefault="00A32C3F" w:rsidP="00A32C3F">
      <w:pPr>
        <w:pStyle w:val="1"/>
        <w:spacing w:before="0"/>
        <w:jc w:val="center"/>
        <w:rPr>
          <w:sz w:val="25"/>
          <w:szCs w:val="25"/>
        </w:rPr>
      </w:pPr>
      <w:r w:rsidRPr="007E15EB">
        <w:rPr>
          <w:sz w:val="25"/>
          <w:szCs w:val="25"/>
        </w:rPr>
        <w:tab/>
      </w:r>
    </w:p>
    <w:p w14:paraId="5843C0A0" w14:textId="77777777" w:rsidR="00A32C3F" w:rsidRPr="007E15EB" w:rsidRDefault="00A32C3F" w:rsidP="00A32C3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bookmarkStart w:id="2" w:name="_Toc132975380"/>
      <w:r w:rsidRPr="007E15EB">
        <w:rPr>
          <w:rFonts w:ascii="Times New Roman" w:hAnsi="Times New Roman" w:cs="Times New Roman"/>
          <w:color w:val="auto"/>
          <w:sz w:val="25"/>
          <w:szCs w:val="25"/>
        </w:rPr>
        <w:t>1. ПРЕДМЕТ СОГЛАШЕНИЯ</w:t>
      </w:r>
      <w:bookmarkEnd w:id="2"/>
    </w:p>
    <w:p w14:paraId="3A418CFF" w14:textId="77777777" w:rsidR="00A32C3F" w:rsidRPr="00802684" w:rsidRDefault="00A32C3F" w:rsidP="00A32C3F">
      <w:pPr>
        <w:rPr>
          <w:sz w:val="25"/>
          <w:szCs w:val="25"/>
        </w:rPr>
      </w:pPr>
      <w:r w:rsidRPr="007E15EB">
        <w:rPr>
          <w:b/>
          <w:sz w:val="25"/>
          <w:szCs w:val="25"/>
        </w:rPr>
        <w:t>1.1.</w:t>
      </w:r>
      <w:r w:rsidRPr="007E15EB">
        <w:rPr>
          <w:sz w:val="25"/>
          <w:szCs w:val="25"/>
        </w:rPr>
        <w:t xml:space="preserve"> Предметом Соглашения является оказание услуг Фонда (на основании партнерских отношений с Банком согласно соглашению о сотрудничестве) по предоставлению Банку возмездного поручительства по обязательствам Заемщика по Продукту с целью </w:t>
      </w:r>
      <w:r w:rsidRPr="00802684">
        <w:rPr>
          <w:sz w:val="25"/>
          <w:szCs w:val="25"/>
        </w:rPr>
        <w:t xml:space="preserve">поддержки Субъектов МСП </w:t>
      </w:r>
      <w:r w:rsidRPr="00802684">
        <w:rPr>
          <w:rFonts w:eastAsia="Calibri"/>
          <w:sz w:val="25"/>
          <w:szCs w:val="25"/>
          <w:lang w:eastAsia="en-US"/>
        </w:rPr>
        <w:t>Тюменской области</w:t>
      </w:r>
      <w:r w:rsidRPr="00802684">
        <w:rPr>
          <w:sz w:val="25"/>
          <w:szCs w:val="25"/>
        </w:rPr>
        <w:t xml:space="preserve">. </w:t>
      </w:r>
    </w:p>
    <w:p w14:paraId="7FCAE86D" w14:textId="77777777" w:rsidR="00A32C3F" w:rsidRPr="007E15EB" w:rsidRDefault="00A32C3F" w:rsidP="00A32C3F">
      <w:pPr>
        <w:rPr>
          <w:sz w:val="25"/>
          <w:szCs w:val="25"/>
        </w:rPr>
      </w:pPr>
      <w:r w:rsidRPr="007E15EB">
        <w:rPr>
          <w:b/>
          <w:sz w:val="25"/>
          <w:szCs w:val="25"/>
        </w:rPr>
        <w:t>1.2.</w:t>
      </w:r>
      <w:r w:rsidRPr="007E15EB">
        <w:rPr>
          <w:sz w:val="25"/>
          <w:szCs w:val="25"/>
        </w:rPr>
        <w:t xml:space="preserve"> Договор поручительства заключается между Банком (Кредитор) и Фондом (Поручитель) в порядке и на условиях, указанных в Общих условиях договора поручительства (далее – Договор поручительства). </w:t>
      </w:r>
    </w:p>
    <w:p w14:paraId="26439CFA" w14:textId="77777777" w:rsidR="00A32C3F" w:rsidRPr="007E15EB" w:rsidRDefault="00A32C3F" w:rsidP="00A32C3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5"/>
          <w:szCs w:val="25"/>
        </w:rPr>
      </w:pPr>
    </w:p>
    <w:p w14:paraId="0AE9F492" w14:textId="77777777" w:rsidR="00A32C3F" w:rsidRPr="007E15EB" w:rsidRDefault="00A32C3F" w:rsidP="00A32C3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bookmarkStart w:id="3" w:name="_Toc132975381"/>
      <w:r w:rsidRPr="007E15EB">
        <w:rPr>
          <w:rFonts w:ascii="Times New Roman" w:hAnsi="Times New Roman" w:cs="Times New Roman"/>
          <w:color w:val="auto"/>
          <w:sz w:val="25"/>
          <w:szCs w:val="25"/>
        </w:rPr>
        <w:t>2. ПАРАМЕТРЫ ПРЕДОСТАВЛЕНИЯ ПОРУЧИТЕЛЬСТВА</w:t>
      </w:r>
      <w:bookmarkEnd w:id="3"/>
    </w:p>
    <w:p w14:paraId="4C583F08" w14:textId="77777777" w:rsidR="00A32C3F" w:rsidRPr="007E15EB" w:rsidRDefault="00A32C3F" w:rsidP="00A32C3F">
      <w:pPr>
        <w:spacing w:before="120"/>
        <w:rPr>
          <w:sz w:val="25"/>
          <w:szCs w:val="25"/>
        </w:rPr>
      </w:pPr>
      <w:r w:rsidRPr="007E15EB">
        <w:rPr>
          <w:sz w:val="25"/>
          <w:szCs w:val="25"/>
        </w:rPr>
        <w:tab/>
      </w:r>
      <w:r w:rsidRPr="007E15EB">
        <w:rPr>
          <w:b/>
          <w:sz w:val="25"/>
          <w:szCs w:val="25"/>
        </w:rPr>
        <w:t>2.1.</w:t>
      </w:r>
      <w:r w:rsidRPr="007E15EB">
        <w:rPr>
          <w:sz w:val="25"/>
          <w:szCs w:val="25"/>
        </w:rPr>
        <w:t xml:space="preserve"> Поручительство предоставляется на условиях субсидиарной ответственности Фонда перед Банком.</w:t>
      </w:r>
    </w:p>
    <w:p w14:paraId="7077065F" w14:textId="77777777" w:rsidR="00A32C3F" w:rsidRPr="007E15EB" w:rsidRDefault="00A32C3F" w:rsidP="00A32C3F">
      <w:pPr>
        <w:spacing w:before="120"/>
        <w:ind w:firstLine="709"/>
        <w:rPr>
          <w:sz w:val="25"/>
          <w:szCs w:val="25"/>
        </w:rPr>
      </w:pPr>
      <w:r w:rsidRPr="007E15EB">
        <w:rPr>
          <w:b/>
          <w:sz w:val="25"/>
          <w:szCs w:val="25"/>
        </w:rPr>
        <w:t>2.2.</w:t>
      </w:r>
      <w:r w:rsidRPr="007E15EB">
        <w:rPr>
          <w:sz w:val="25"/>
          <w:szCs w:val="25"/>
        </w:rPr>
        <w:t xml:space="preserve"> Максимальный размер единовременно предоставляемого поручительства Фонда не может превышать 50% (пятидесяти процентов) от суммы обязательств Заемщика в части возврата фактически полученной суммы кредита (суммы основного долга) по кредитному договору, обеспеченному поручительством Фонда, но в любом случае не может превышать </w:t>
      </w:r>
      <w:r>
        <w:rPr>
          <w:sz w:val="25"/>
          <w:szCs w:val="25"/>
        </w:rPr>
        <w:t>10</w:t>
      </w:r>
      <w:r w:rsidRPr="007E15EB">
        <w:rPr>
          <w:sz w:val="25"/>
          <w:szCs w:val="25"/>
        </w:rPr>
        <w:t xml:space="preserve"> (</w:t>
      </w:r>
      <w:r>
        <w:rPr>
          <w:sz w:val="25"/>
          <w:szCs w:val="25"/>
        </w:rPr>
        <w:t>десяти</w:t>
      </w:r>
      <w:r w:rsidRPr="007E15EB">
        <w:rPr>
          <w:sz w:val="25"/>
          <w:szCs w:val="25"/>
        </w:rPr>
        <w:t>) миллионов российских рублей 00 копеек по всем одновременно действующим поручительствам Фонда в отношении одного Заемщика в рамках Продукта (лимит на Заемщика).</w:t>
      </w:r>
    </w:p>
    <w:p w14:paraId="213C5D01" w14:textId="77777777" w:rsidR="00A32C3F" w:rsidRPr="007E15EB" w:rsidRDefault="00A32C3F" w:rsidP="00A32C3F">
      <w:pPr>
        <w:spacing w:before="120"/>
        <w:ind w:firstLine="709"/>
        <w:rPr>
          <w:sz w:val="25"/>
          <w:szCs w:val="25"/>
        </w:rPr>
      </w:pPr>
      <w:r w:rsidRPr="007E15EB">
        <w:rPr>
          <w:sz w:val="25"/>
          <w:szCs w:val="25"/>
        </w:rPr>
        <w:t>При этом фактический размер и объем ответственности Фонда определяется Договором поручительства.</w:t>
      </w:r>
    </w:p>
    <w:p w14:paraId="23C8B7D2" w14:textId="77777777" w:rsidR="00A32C3F" w:rsidRPr="006B0A20" w:rsidRDefault="00A32C3F" w:rsidP="00A32C3F">
      <w:pPr>
        <w:ind w:firstLine="708"/>
        <w:rPr>
          <w:sz w:val="25"/>
          <w:szCs w:val="25"/>
        </w:rPr>
      </w:pPr>
      <w:bookmarkStart w:id="4" w:name="_Hlk209795097"/>
      <w:r w:rsidRPr="007E15EB">
        <w:rPr>
          <w:b/>
          <w:sz w:val="25"/>
          <w:szCs w:val="25"/>
        </w:rPr>
        <w:t>2.3.</w:t>
      </w:r>
      <w:r w:rsidRPr="007E15EB">
        <w:rPr>
          <w:sz w:val="25"/>
          <w:szCs w:val="25"/>
        </w:rPr>
        <w:t xml:space="preserve"> </w:t>
      </w:r>
      <w:bookmarkStart w:id="5" w:name="_Hlk16247461"/>
      <w:r w:rsidRPr="006B0A20">
        <w:rPr>
          <w:sz w:val="25"/>
          <w:szCs w:val="25"/>
        </w:rPr>
        <w:t>Поручительство Фонда не может быть предоставлено, если это приведет к превышению установленного Фондом лимита поручительств на Банк/Продукт. Уменьшение лимита не влияет на ранее заключенные Договоры поручительства.</w:t>
      </w:r>
    </w:p>
    <w:p w14:paraId="6640BF90" w14:textId="77777777" w:rsidR="00A32C3F" w:rsidRPr="006B0A20" w:rsidRDefault="00A32C3F" w:rsidP="00A32C3F">
      <w:pPr>
        <w:ind w:firstLine="708"/>
        <w:rPr>
          <w:sz w:val="25"/>
          <w:szCs w:val="25"/>
        </w:rPr>
      </w:pPr>
      <w:r w:rsidRPr="006B0A20">
        <w:rPr>
          <w:sz w:val="25"/>
          <w:szCs w:val="25"/>
        </w:rPr>
        <w:t>Лимит на Продукт устанавливается ежегодно.</w:t>
      </w:r>
    </w:p>
    <w:p w14:paraId="5D01F411" w14:textId="77777777" w:rsidR="00A32C3F" w:rsidRPr="006B0A20" w:rsidRDefault="00A32C3F" w:rsidP="00A32C3F">
      <w:pPr>
        <w:ind w:firstLine="708"/>
        <w:rPr>
          <w:sz w:val="25"/>
          <w:szCs w:val="25"/>
        </w:rPr>
      </w:pPr>
      <w:r w:rsidRPr="006B0A20">
        <w:rPr>
          <w:sz w:val="25"/>
          <w:szCs w:val="25"/>
        </w:rPr>
        <w:t>Фонд вправе изменить установленный лимит на Продукт в течение года в случаях:</w:t>
      </w:r>
    </w:p>
    <w:p w14:paraId="2EFD1A93" w14:textId="77777777" w:rsidR="00A32C3F" w:rsidRPr="006B0A20" w:rsidRDefault="00A32C3F" w:rsidP="00A32C3F">
      <w:pPr>
        <w:ind w:firstLine="708"/>
        <w:rPr>
          <w:sz w:val="25"/>
          <w:szCs w:val="25"/>
        </w:rPr>
      </w:pPr>
      <w:r w:rsidRPr="006B0A20">
        <w:rPr>
          <w:sz w:val="25"/>
          <w:szCs w:val="25"/>
        </w:rPr>
        <w:t>-поступления заявления Банка о пересчете лимита;</w:t>
      </w:r>
    </w:p>
    <w:p w14:paraId="3EF1508B" w14:textId="77777777" w:rsidR="00A32C3F" w:rsidRDefault="00A32C3F" w:rsidP="00A32C3F">
      <w:pPr>
        <w:ind w:firstLine="708"/>
        <w:rPr>
          <w:sz w:val="25"/>
          <w:szCs w:val="25"/>
        </w:rPr>
      </w:pPr>
      <w:r w:rsidRPr="006B0A20">
        <w:rPr>
          <w:sz w:val="25"/>
          <w:szCs w:val="25"/>
        </w:rPr>
        <w:t>- изменения нормативно-правовых актов, регулирующих деятельность Фонда</w:t>
      </w:r>
      <w:r>
        <w:rPr>
          <w:sz w:val="25"/>
          <w:szCs w:val="25"/>
        </w:rPr>
        <w:t>;</w:t>
      </w:r>
    </w:p>
    <w:p w14:paraId="4AABC7DA" w14:textId="77777777" w:rsidR="00A32C3F" w:rsidRDefault="00A32C3F" w:rsidP="00A32C3F">
      <w:pPr>
        <w:ind w:firstLine="708"/>
        <w:rPr>
          <w:sz w:val="25"/>
          <w:szCs w:val="25"/>
        </w:rPr>
      </w:pPr>
      <w:r>
        <w:rPr>
          <w:sz w:val="25"/>
          <w:szCs w:val="25"/>
        </w:rPr>
        <w:t>- в случае превышения Банком допустимых размеров убытков в портфеле Фонда.</w:t>
      </w:r>
    </w:p>
    <w:p w14:paraId="3B1ECA7E" w14:textId="77777777" w:rsidR="00A32C3F" w:rsidRDefault="00A32C3F" w:rsidP="00A32C3F">
      <w:pPr>
        <w:ind w:firstLine="708"/>
        <w:rPr>
          <w:sz w:val="25"/>
          <w:szCs w:val="25"/>
        </w:rPr>
      </w:pPr>
    </w:p>
    <w:p w14:paraId="274B0483" w14:textId="77777777" w:rsidR="00A32C3F" w:rsidRPr="007E15EB" w:rsidRDefault="00A32C3F" w:rsidP="00A32C3F">
      <w:pPr>
        <w:ind w:firstLine="708"/>
        <w:rPr>
          <w:bCs/>
          <w:sz w:val="25"/>
          <w:szCs w:val="25"/>
        </w:rPr>
      </w:pPr>
      <w:bookmarkStart w:id="6" w:name="_Hlk204163191"/>
      <w:bookmarkEnd w:id="4"/>
      <w:r w:rsidRPr="007E15EB">
        <w:rPr>
          <w:b/>
          <w:sz w:val="25"/>
          <w:szCs w:val="25"/>
        </w:rPr>
        <w:t xml:space="preserve">2.4. </w:t>
      </w:r>
      <w:r w:rsidRPr="007E15EB">
        <w:rPr>
          <w:bCs/>
          <w:sz w:val="25"/>
          <w:szCs w:val="25"/>
        </w:rPr>
        <w:t>Фонд письменно уведомляет об установлении / изменении лимитов</w:t>
      </w:r>
      <w:r>
        <w:rPr>
          <w:bCs/>
          <w:sz w:val="25"/>
          <w:szCs w:val="25"/>
        </w:rPr>
        <w:t>, изменении допустимого размера убытков, влияющего на лимит предоставления поручительства по Продукту,</w:t>
      </w:r>
      <w:r w:rsidRPr="007E15EB">
        <w:rPr>
          <w:bCs/>
          <w:sz w:val="25"/>
          <w:szCs w:val="25"/>
        </w:rPr>
        <w:t xml:space="preserve"> не менее чем за 5 (пять) рабочих дней до планируемой даты установления / изменения. </w:t>
      </w:r>
    </w:p>
    <w:bookmarkEnd w:id="6"/>
    <w:p w14:paraId="03F8ED09" w14:textId="77777777" w:rsidR="00A32C3F" w:rsidRDefault="00A32C3F" w:rsidP="00A32C3F">
      <w:pPr>
        <w:ind w:firstLine="708"/>
        <w:rPr>
          <w:sz w:val="25"/>
          <w:szCs w:val="25"/>
        </w:rPr>
      </w:pPr>
      <w:r w:rsidRPr="007E15EB">
        <w:rPr>
          <w:b/>
          <w:bCs/>
          <w:sz w:val="25"/>
          <w:szCs w:val="25"/>
        </w:rPr>
        <w:lastRenderedPageBreak/>
        <w:t>2.5.</w:t>
      </w:r>
      <w:r w:rsidRPr="007E15EB">
        <w:rPr>
          <w:sz w:val="25"/>
          <w:szCs w:val="25"/>
        </w:rPr>
        <w:t xml:space="preserve"> В целях актуализации действующего портфеля поручительства по Продукту, Фонд и Банк проводят </w:t>
      </w:r>
      <w:r>
        <w:rPr>
          <w:sz w:val="25"/>
          <w:szCs w:val="25"/>
        </w:rPr>
        <w:t>ежеквартально</w:t>
      </w:r>
      <w:r w:rsidRPr="007E15EB">
        <w:rPr>
          <w:sz w:val="25"/>
          <w:szCs w:val="25"/>
        </w:rPr>
        <w:t xml:space="preserve"> сверку по действующему кредитному портфелю, обеспеченному поручительством Фонда в рамках Продукта. Для проведения указанной сверки</w:t>
      </w:r>
      <w:r>
        <w:rPr>
          <w:sz w:val="25"/>
          <w:szCs w:val="25"/>
        </w:rPr>
        <w:t xml:space="preserve"> по запросу Фонда</w:t>
      </w:r>
      <w:r w:rsidRPr="007E15EB">
        <w:rPr>
          <w:sz w:val="25"/>
          <w:szCs w:val="25"/>
        </w:rPr>
        <w:t xml:space="preserve"> Банк </w:t>
      </w:r>
      <w:r>
        <w:rPr>
          <w:sz w:val="25"/>
          <w:szCs w:val="25"/>
        </w:rPr>
        <w:t>ежеквартально,</w:t>
      </w:r>
      <w:r w:rsidRPr="007E15EB">
        <w:rPr>
          <w:sz w:val="25"/>
          <w:szCs w:val="25"/>
        </w:rPr>
        <w:t xml:space="preserve"> не позднее 15 числа месяца, следующего за отчетным кварталом направляет в Фонд по ЭДО </w:t>
      </w:r>
      <w:r>
        <w:rPr>
          <w:sz w:val="25"/>
          <w:szCs w:val="25"/>
        </w:rPr>
        <w:t xml:space="preserve">запрашиваемую </w:t>
      </w:r>
      <w:r w:rsidRPr="007E15EB">
        <w:rPr>
          <w:sz w:val="25"/>
          <w:szCs w:val="25"/>
        </w:rPr>
        <w:t xml:space="preserve">информацию. </w:t>
      </w:r>
    </w:p>
    <w:p w14:paraId="7FAA24C5" w14:textId="77777777" w:rsidR="00A32C3F" w:rsidRPr="007E15EB" w:rsidRDefault="00A32C3F" w:rsidP="00A32C3F">
      <w:pPr>
        <w:ind w:firstLine="708"/>
        <w:rPr>
          <w:sz w:val="25"/>
          <w:szCs w:val="25"/>
        </w:rPr>
      </w:pPr>
    </w:p>
    <w:p w14:paraId="3D5183BE" w14:textId="77777777" w:rsidR="00A32C3F" w:rsidRPr="007E15EB" w:rsidRDefault="00A32C3F" w:rsidP="00A32C3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bookmarkStart w:id="7" w:name="_Toc132975382"/>
      <w:bookmarkEnd w:id="5"/>
      <w:r w:rsidRPr="007E15EB">
        <w:rPr>
          <w:rFonts w:ascii="Times New Roman" w:hAnsi="Times New Roman" w:cs="Times New Roman"/>
          <w:color w:val="auto"/>
          <w:sz w:val="25"/>
          <w:szCs w:val="25"/>
        </w:rPr>
        <w:t>3. ОБМЕН ДОКУМЕНТАМИ ПО ПОРУЧИТЕЛЬСТВУ</w:t>
      </w:r>
      <w:bookmarkEnd w:id="7"/>
    </w:p>
    <w:p w14:paraId="7B37D255" w14:textId="77777777" w:rsidR="00A32C3F" w:rsidRPr="007E15EB" w:rsidRDefault="00A32C3F" w:rsidP="00A32C3F">
      <w:pPr>
        <w:rPr>
          <w:sz w:val="25"/>
          <w:szCs w:val="25"/>
        </w:rPr>
      </w:pPr>
      <w:r w:rsidRPr="007E15EB">
        <w:rPr>
          <w:sz w:val="25"/>
          <w:szCs w:val="25"/>
        </w:rPr>
        <w:tab/>
      </w:r>
      <w:r w:rsidRPr="007E15EB">
        <w:rPr>
          <w:b/>
          <w:sz w:val="25"/>
          <w:szCs w:val="25"/>
        </w:rPr>
        <w:t>3.1.</w:t>
      </w:r>
      <w:r w:rsidRPr="007E15EB">
        <w:rPr>
          <w:sz w:val="25"/>
          <w:szCs w:val="25"/>
        </w:rPr>
        <w:t xml:space="preserve"> Стороны соглашаются, что реализация предоставления поручительства по Продукту осуществляется посредством ЭДО. При этом электронное взаимодействие в рамках настоящего Соглашения осуществляется без ущерба для подписания документов на бумажных носителях (если таковое необходимо).</w:t>
      </w:r>
    </w:p>
    <w:p w14:paraId="278CFD91" w14:textId="77777777" w:rsidR="00A32C3F" w:rsidRPr="007E15EB" w:rsidRDefault="00A32C3F" w:rsidP="00A32C3F">
      <w:pPr>
        <w:ind w:firstLine="708"/>
        <w:rPr>
          <w:sz w:val="25"/>
          <w:szCs w:val="25"/>
        </w:rPr>
      </w:pPr>
      <w:r w:rsidRPr="007E15EB">
        <w:rPr>
          <w:b/>
          <w:sz w:val="25"/>
          <w:szCs w:val="25"/>
        </w:rPr>
        <w:t>3.2</w:t>
      </w:r>
      <w:r w:rsidRPr="007E15EB">
        <w:rPr>
          <w:sz w:val="25"/>
          <w:szCs w:val="25"/>
        </w:rPr>
        <w:t xml:space="preserve">. </w:t>
      </w:r>
      <w:r w:rsidRPr="00367239">
        <w:t xml:space="preserve">Для заключения договора поручительства Банк направляет в Фонд Заявление о присоединении (по форме Приложения № 2 к Соглашению) (оферту Банка) посредством ЭДО </w:t>
      </w:r>
      <w:r w:rsidRPr="005D5BB3">
        <w:t>не позднее 5 (пяти) рабочих дней</w:t>
      </w:r>
      <w:r w:rsidRPr="00367239">
        <w:t xml:space="preserve"> с даты заключения кредитного договора, обеспечиваемого договором поручительства, но при этом не позднее 3 (трех) рабочих дней после окончания отчетного квартала, если кредитный договор заключен </w:t>
      </w:r>
      <w:r>
        <w:t>до окончания</w:t>
      </w:r>
      <w:r w:rsidRPr="00367239">
        <w:t xml:space="preserve"> отчетного квартала. Отсутствие возражений со стороны Фонда является надлежащим акцептом оферты Банка (ч. 2 ст. 438 Гражданского кодекса РФ).</w:t>
      </w:r>
    </w:p>
    <w:p w14:paraId="66E872B9" w14:textId="77777777" w:rsidR="00A32C3F" w:rsidRDefault="00A32C3F" w:rsidP="00A32C3F">
      <w:pPr>
        <w:rPr>
          <w:sz w:val="25"/>
          <w:szCs w:val="25"/>
        </w:rPr>
      </w:pPr>
      <w:r w:rsidRPr="007E15EB">
        <w:rPr>
          <w:sz w:val="25"/>
          <w:szCs w:val="25"/>
        </w:rPr>
        <w:tab/>
      </w:r>
      <w:r w:rsidRPr="007E15EB">
        <w:rPr>
          <w:b/>
          <w:sz w:val="25"/>
          <w:szCs w:val="25"/>
        </w:rPr>
        <w:t>3.3.</w:t>
      </w:r>
      <w:r w:rsidRPr="007E15EB">
        <w:rPr>
          <w:sz w:val="25"/>
          <w:szCs w:val="25"/>
        </w:rPr>
        <w:t xml:space="preserve"> </w:t>
      </w:r>
      <w:r w:rsidRPr="00FF46A0">
        <w:rPr>
          <w:sz w:val="25"/>
          <w:szCs w:val="25"/>
        </w:rPr>
        <w:t>Предоставление поручительства по Договору поручительства подтверждается фактом его заключения (ч. 1 ст. 361 Гражданского кодекса РФ) и не требует оформления иных первичных документов, в том числе составления акта.</w:t>
      </w:r>
    </w:p>
    <w:p w14:paraId="7E86153F" w14:textId="77777777" w:rsidR="00A32C3F" w:rsidRDefault="00A32C3F" w:rsidP="00A32C3F">
      <w:pPr>
        <w:rPr>
          <w:sz w:val="25"/>
          <w:szCs w:val="25"/>
        </w:rPr>
      </w:pPr>
    </w:p>
    <w:p w14:paraId="78E9FD41" w14:textId="77777777" w:rsidR="00A32C3F" w:rsidRPr="007E15EB" w:rsidRDefault="00A32C3F" w:rsidP="00A32C3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bookmarkStart w:id="8" w:name="_Toc132975383"/>
      <w:r w:rsidRPr="007E15EB">
        <w:rPr>
          <w:rFonts w:ascii="Times New Roman" w:hAnsi="Times New Roman" w:cs="Times New Roman"/>
          <w:color w:val="auto"/>
          <w:sz w:val="25"/>
          <w:szCs w:val="25"/>
        </w:rPr>
        <w:t>4. ПОРЯДОК ПРЕДОСТАВЛЕНИЯ ПОРУЧИТЕЛЬСТВА</w:t>
      </w:r>
      <w:bookmarkEnd w:id="8"/>
    </w:p>
    <w:p w14:paraId="43A5B20E" w14:textId="77777777" w:rsidR="00A32C3F" w:rsidRPr="007E15EB" w:rsidRDefault="00A32C3F" w:rsidP="00A32C3F">
      <w:pPr>
        <w:rPr>
          <w:sz w:val="25"/>
          <w:szCs w:val="25"/>
        </w:rPr>
      </w:pPr>
      <w:r w:rsidRPr="007E15EB">
        <w:rPr>
          <w:sz w:val="25"/>
          <w:szCs w:val="25"/>
        </w:rPr>
        <w:tab/>
      </w:r>
      <w:r w:rsidRPr="007E15EB">
        <w:rPr>
          <w:b/>
          <w:sz w:val="25"/>
          <w:szCs w:val="25"/>
        </w:rPr>
        <w:t>4.1.</w:t>
      </w:r>
      <w:r w:rsidRPr="007E15EB">
        <w:rPr>
          <w:sz w:val="25"/>
          <w:szCs w:val="25"/>
        </w:rPr>
        <w:t xml:space="preserve"> Одновременно с Заявкой на кредит Заемщик вправе подать Заявку на поручительство, исходя из параметров Продукта, которая рассматривается Банком.</w:t>
      </w:r>
    </w:p>
    <w:p w14:paraId="46AC9E46" w14:textId="77777777" w:rsidR="00A32C3F" w:rsidRPr="007E15EB" w:rsidRDefault="00A32C3F" w:rsidP="00A32C3F">
      <w:pPr>
        <w:ind w:firstLine="708"/>
        <w:rPr>
          <w:sz w:val="25"/>
          <w:szCs w:val="25"/>
        </w:rPr>
      </w:pPr>
      <w:r w:rsidRPr="007E15EB">
        <w:rPr>
          <w:b/>
          <w:sz w:val="25"/>
          <w:szCs w:val="25"/>
        </w:rPr>
        <w:t>4.2.</w:t>
      </w:r>
      <w:r w:rsidRPr="007E15EB">
        <w:rPr>
          <w:sz w:val="25"/>
          <w:szCs w:val="25"/>
        </w:rPr>
        <w:t xml:space="preserve"> В случае положительного результата рассмотрения Заявки на кредит, Банк проводит проверку соответствия Заемщика и иных условий поручительства Общим условиям договора поручительства. </w:t>
      </w:r>
    </w:p>
    <w:p w14:paraId="6740BF71" w14:textId="77777777" w:rsidR="00A32C3F" w:rsidRPr="007E15EB" w:rsidRDefault="00A32C3F" w:rsidP="00A32C3F">
      <w:pPr>
        <w:ind w:firstLine="708"/>
        <w:rPr>
          <w:sz w:val="25"/>
          <w:szCs w:val="25"/>
        </w:rPr>
      </w:pPr>
      <w:r w:rsidRPr="007E15EB">
        <w:rPr>
          <w:sz w:val="25"/>
          <w:szCs w:val="25"/>
        </w:rPr>
        <w:t>Направление Банком в Фонд Заявления о присоединении подтверждает положительное рассмотрение (одобрение) Заявки на поручительство. При этом отдельное направление в Фонд Заявки на поручительство не требуется.</w:t>
      </w:r>
      <w:bookmarkStart w:id="9" w:name="_Hlk68857821"/>
    </w:p>
    <w:p w14:paraId="39FD2DFD" w14:textId="77777777" w:rsidR="00A32C3F" w:rsidRPr="007E15EB" w:rsidRDefault="00A32C3F" w:rsidP="00A32C3F">
      <w:pPr>
        <w:ind w:firstLine="708"/>
        <w:rPr>
          <w:sz w:val="25"/>
          <w:szCs w:val="25"/>
        </w:rPr>
      </w:pPr>
      <w:r w:rsidRPr="007E15EB">
        <w:rPr>
          <w:b/>
          <w:sz w:val="25"/>
          <w:szCs w:val="25"/>
        </w:rPr>
        <w:t>4.3.</w:t>
      </w:r>
      <w:r w:rsidRPr="007E15EB">
        <w:rPr>
          <w:sz w:val="25"/>
          <w:szCs w:val="25"/>
        </w:rPr>
        <w:t xml:space="preserve"> Фонд отказывает в предоставлении поручительства, если на дату заключения договора поручительства:</w:t>
      </w:r>
    </w:p>
    <w:p w14:paraId="40DA17E1" w14:textId="77777777" w:rsidR="00A32C3F" w:rsidRPr="007E15EB" w:rsidRDefault="00A32C3F" w:rsidP="00A32C3F">
      <w:pPr>
        <w:numPr>
          <w:ilvl w:val="0"/>
          <w:numId w:val="1"/>
        </w:numPr>
        <w:ind w:left="0" w:firstLine="709"/>
        <w:rPr>
          <w:sz w:val="25"/>
          <w:szCs w:val="25"/>
        </w:rPr>
      </w:pPr>
      <w:r w:rsidRPr="007E15EB">
        <w:rPr>
          <w:sz w:val="25"/>
          <w:szCs w:val="25"/>
        </w:rPr>
        <w:t>превышен лимит Фонда на Банк и (или) Заемщика;</w:t>
      </w:r>
    </w:p>
    <w:p w14:paraId="09D2EBD5" w14:textId="77777777" w:rsidR="00A32C3F" w:rsidRPr="007E15EB" w:rsidRDefault="00A32C3F" w:rsidP="00A32C3F">
      <w:pPr>
        <w:numPr>
          <w:ilvl w:val="0"/>
          <w:numId w:val="1"/>
        </w:numPr>
        <w:ind w:left="0" w:firstLine="709"/>
        <w:rPr>
          <w:sz w:val="25"/>
          <w:szCs w:val="25"/>
        </w:rPr>
      </w:pPr>
      <w:r w:rsidRPr="007E15EB">
        <w:rPr>
          <w:sz w:val="25"/>
          <w:szCs w:val="25"/>
        </w:rPr>
        <w:t>превышен лимит Фонда на поручительство по Продукту;</w:t>
      </w:r>
    </w:p>
    <w:p w14:paraId="1D20588A" w14:textId="6669524B" w:rsidR="00A32C3F" w:rsidRDefault="00A32C3F" w:rsidP="00A32C3F">
      <w:pPr>
        <w:numPr>
          <w:ilvl w:val="0"/>
          <w:numId w:val="1"/>
        </w:numPr>
        <w:ind w:left="0" w:firstLine="709"/>
        <w:rPr>
          <w:sz w:val="25"/>
          <w:szCs w:val="25"/>
        </w:rPr>
      </w:pPr>
      <w:r w:rsidRPr="007E15EB">
        <w:rPr>
          <w:sz w:val="25"/>
          <w:szCs w:val="25"/>
        </w:rPr>
        <w:t>станет известно, что Заемщик не соответствует хотя бы одному требованию, предъявляемому к нему Договором поручительства.</w:t>
      </w:r>
      <w:bookmarkEnd w:id="9"/>
    </w:p>
    <w:p w14:paraId="63808098" w14:textId="77777777" w:rsidR="00802684" w:rsidRPr="00802684" w:rsidRDefault="00802684" w:rsidP="00802684">
      <w:pPr>
        <w:ind w:left="709"/>
        <w:rPr>
          <w:sz w:val="25"/>
          <w:szCs w:val="25"/>
        </w:rPr>
      </w:pPr>
    </w:p>
    <w:p w14:paraId="7CF175B4" w14:textId="77777777" w:rsidR="00A32C3F" w:rsidRPr="007E15EB" w:rsidRDefault="00A32C3F" w:rsidP="00A32C3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bookmarkStart w:id="10" w:name="_Toc132975384"/>
      <w:r w:rsidRPr="007E15EB">
        <w:rPr>
          <w:rFonts w:ascii="Times New Roman" w:hAnsi="Times New Roman" w:cs="Times New Roman"/>
          <w:color w:val="auto"/>
          <w:sz w:val="25"/>
          <w:szCs w:val="25"/>
        </w:rPr>
        <w:t>5. ПОРЯДОК УПЛАТЫ ВОЗНАГРАЖДЕНИЯ ЗА ПОРУЧИТЕЛЬСТВО</w:t>
      </w:r>
      <w:bookmarkEnd w:id="10"/>
    </w:p>
    <w:p w14:paraId="563D76D8" w14:textId="77777777" w:rsidR="00A32C3F" w:rsidRPr="007E15EB" w:rsidRDefault="00A32C3F" w:rsidP="00A32C3F">
      <w:pPr>
        <w:ind w:firstLine="709"/>
        <w:rPr>
          <w:sz w:val="25"/>
          <w:szCs w:val="25"/>
        </w:rPr>
      </w:pPr>
      <w:r w:rsidRPr="007E15EB">
        <w:rPr>
          <w:b/>
          <w:sz w:val="25"/>
          <w:szCs w:val="25"/>
        </w:rPr>
        <w:t>5.1.</w:t>
      </w:r>
      <w:r w:rsidRPr="007E15EB">
        <w:rPr>
          <w:sz w:val="25"/>
          <w:szCs w:val="25"/>
        </w:rPr>
        <w:t xml:space="preserve"> Вознаграждение за предоставление поручительства Фонда рассчитывается согласно Общим условиям договора поручительства.</w:t>
      </w:r>
    </w:p>
    <w:p w14:paraId="0F05316F" w14:textId="77777777" w:rsidR="00A32C3F" w:rsidRPr="007E15EB" w:rsidRDefault="00A32C3F" w:rsidP="00A32C3F">
      <w:pPr>
        <w:ind w:firstLine="709"/>
        <w:rPr>
          <w:sz w:val="25"/>
          <w:szCs w:val="25"/>
        </w:rPr>
      </w:pPr>
    </w:p>
    <w:p w14:paraId="5546378E" w14:textId="77777777" w:rsidR="00A32C3F" w:rsidRPr="007E15EB" w:rsidRDefault="00A32C3F" w:rsidP="00A32C3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bookmarkStart w:id="11" w:name="_Toc132975385"/>
      <w:r w:rsidRPr="007E15EB">
        <w:rPr>
          <w:rFonts w:ascii="Times New Roman" w:hAnsi="Times New Roman" w:cs="Times New Roman"/>
          <w:color w:val="auto"/>
          <w:sz w:val="25"/>
          <w:szCs w:val="25"/>
        </w:rPr>
        <w:t>6. ПРОЧИЕ ПОЛОЖЕНИЯ</w:t>
      </w:r>
      <w:bookmarkEnd w:id="11"/>
    </w:p>
    <w:p w14:paraId="01CE2053" w14:textId="77777777" w:rsidR="00A32C3F" w:rsidRPr="007E15EB" w:rsidRDefault="00A32C3F" w:rsidP="00A32C3F">
      <w:pPr>
        <w:ind w:firstLine="426"/>
        <w:rPr>
          <w:sz w:val="25"/>
          <w:szCs w:val="25"/>
          <w:lang w:bidi="ru-RU"/>
        </w:rPr>
      </w:pPr>
      <w:r w:rsidRPr="007E15EB">
        <w:rPr>
          <w:b/>
          <w:sz w:val="25"/>
          <w:szCs w:val="25"/>
          <w:lang w:bidi="ru-RU"/>
        </w:rPr>
        <w:t>6.1.</w:t>
      </w:r>
      <w:r w:rsidRPr="007E15EB">
        <w:rPr>
          <w:sz w:val="25"/>
          <w:szCs w:val="25"/>
          <w:lang w:bidi="ru-RU"/>
        </w:rPr>
        <w:t xml:space="preserve"> Соглашение заключено на неопределенный срок и вступает в силу с момента его подписания Сторонами.</w:t>
      </w:r>
    </w:p>
    <w:p w14:paraId="5BBACC8B" w14:textId="77777777" w:rsidR="00A32C3F" w:rsidRPr="007E15EB" w:rsidRDefault="00A32C3F" w:rsidP="00A32C3F">
      <w:pPr>
        <w:ind w:firstLine="426"/>
        <w:rPr>
          <w:sz w:val="25"/>
          <w:szCs w:val="25"/>
          <w:lang w:bidi="ru-RU"/>
        </w:rPr>
      </w:pPr>
      <w:r w:rsidRPr="007E15EB">
        <w:rPr>
          <w:b/>
          <w:sz w:val="25"/>
          <w:szCs w:val="25"/>
          <w:lang w:bidi="ru-RU"/>
        </w:rPr>
        <w:t>6.2.</w:t>
      </w:r>
      <w:r w:rsidRPr="007E15EB">
        <w:rPr>
          <w:sz w:val="25"/>
          <w:szCs w:val="25"/>
          <w:lang w:bidi="ru-RU"/>
        </w:rPr>
        <w:t xml:space="preserve"> Изменение настоящего Соглашения возможно по соглашению Сторон, в письменной форме.</w:t>
      </w:r>
    </w:p>
    <w:p w14:paraId="2845D9C6" w14:textId="77777777" w:rsidR="00A32C3F" w:rsidRPr="007E15EB" w:rsidRDefault="00A32C3F" w:rsidP="00A32C3F">
      <w:pPr>
        <w:ind w:firstLine="426"/>
        <w:rPr>
          <w:sz w:val="25"/>
          <w:szCs w:val="25"/>
          <w:lang w:bidi="ru-RU"/>
        </w:rPr>
      </w:pPr>
      <w:r w:rsidRPr="007E15EB">
        <w:rPr>
          <w:b/>
          <w:sz w:val="25"/>
          <w:szCs w:val="25"/>
          <w:lang w:bidi="ru-RU"/>
        </w:rPr>
        <w:lastRenderedPageBreak/>
        <w:t>6.3.</w:t>
      </w:r>
      <w:r w:rsidRPr="007E15EB">
        <w:rPr>
          <w:sz w:val="25"/>
          <w:szCs w:val="25"/>
          <w:lang w:bidi="ru-RU"/>
        </w:rPr>
        <w:t xml:space="preserve"> Соглашение может быть расторгнуто по требованию любой из Сторон с уведомлением другой Стороны не менее чем за 60 (шестьдесят) календарных дней до даты расторжения. При согласии другой Стороны Соглашение может быть расторгнуто ранее, с даты, указанной в уведомлении.</w:t>
      </w:r>
    </w:p>
    <w:p w14:paraId="5858E57B" w14:textId="2BAD94F4" w:rsidR="00A32C3F" w:rsidRPr="007E15EB" w:rsidRDefault="00A32C3F" w:rsidP="00A32C3F">
      <w:pPr>
        <w:ind w:firstLine="360"/>
        <w:rPr>
          <w:sz w:val="25"/>
          <w:szCs w:val="25"/>
        </w:rPr>
      </w:pPr>
      <w:bookmarkStart w:id="12" w:name="bookmark14"/>
      <w:r w:rsidRPr="007E15EB">
        <w:rPr>
          <w:b/>
          <w:sz w:val="25"/>
          <w:szCs w:val="25"/>
        </w:rPr>
        <w:t>6.</w:t>
      </w:r>
      <w:r w:rsidR="00D91BBF">
        <w:rPr>
          <w:b/>
          <w:sz w:val="25"/>
          <w:szCs w:val="25"/>
        </w:rPr>
        <w:t>4</w:t>
      </w:r>
      <w:r w:rsidRPr="007E15EB">
        <w:rPr>
          <w:b/>
          <w:sz w:val="25"/>
          <w:szCs w:val="25"/>
        </w:rPr>
        <w:t>.</w:t>
      </w:r>
      <w:r w:rsidRPr="007E15EB">
        <w:rPr>
          <w:sz w:val="25"/>
          <w:szCs w:val="25"/>
        </w:rPr>
        <w:t xml:space="preserve"> </w:t>
      </w:r>
      <w:r w:rsidRPr="007E15EB">
        <w:rPr>
          <w:sz w:val="25"/>
          <w:szCs w:val="25"/>
          <w:lang w:bidi="ru-RU"/>
        </w:rPr>
        <w:t xml:space="preserve">Любые уведомления и документы в связи с настоящим Соглашением должны быть составлены в письменной форме на русском языке и подписаны Стороной. К письменной форме (без необходимости подписания, если это отдельно не установлено Соглашением) приравниваются уведомления и документы, направленные </w:t>
      </w:r>
      <w:proofErr w:type="spellStart"/>
      <w:r w:rsidRPr="007E15EB">
        <w:rPr>
          <w:sz w:val="25"/>
          <w:szCs w:val="25"/>
          <w:lang w:bidi="ru-RU"/>
        </w:rPr>
        <w:t>электронно</w:t>
      </w:r>
      <w:proofErr w:type="spellEnd"/>
      <w:r w:rsidRPr="007E15EB">
        <w:rPr>
          <w:sz w:val="25"/>
          <w:szCs w:val="25"/>
          <w:lang w:bidi="ru-RU"/>
        </w:rPr>
        <w:t xml:space="preserve"> по согласованному каналу связи. Такие уведомления и документы должны передаваться лично либо направляться по почте заказным письмом с описью вложения с уведомлением о вручении по указанному в настоящем Соглашении адресу для корреспонденции, либо направляться </w:t>
      </w:r>
      <w:proofErr w:type="spellStart"/>
      <w:r w:rsidRPr="007E15EB">
        <w:rPr>
          <w:sz w:val="25"/>
          <w:szCs w:val="25"/>
          <w:lang w:bidi="ru-RU"/>
        </w:rPr>
        <w:t>электронно</w:t>
      </w:r>
      <w:proofErr w:type="spellEnd"/>
      <w:r w:rsidRPr="007E15EB">
        <w:rPr>
          <w:sz w:val="25"/>
          <w:szCs w:val="25"/>
          <w:lang w:bidi="ru-RU"/>
        </w:rPr>
        <w:t xml:space="preserve"> на условиях Соглашения. Любое уведомление или документ считается доставленным надлежащим образом:</w:t>
      </w:r>
    </w:p>
    <w:p w14:paraId="6568952B" w14:textId="77777777" w:rsidR="00A32C3F" w:rsidRPr="007E15EB" w:rsidRDefault="00A32C3F" w:rsidP="00A32C3F">
      <w:pPr>
        <w:numPr>
          <w:ilvl w:val="0"/>
          <w:numId w:val="2"/>
        </w:numPr>
        <w:rPr>
          <w:sz w:val="25"/>
          <w:szCs w:val="25"/>
        </w:rPr>
      </w:pPr>
      <w:r w:rsidRPr="007E15EB">
        <w:rPr>
          <w:sz w:val="25"/>
          <w:szCs w:val="25"/>
        </w:rPr>
        <w:t>в случае вручения лично – в момент непосредственной передачи документа уполномоченному представителю этой Стороны;</w:t>
      </w:r>
    </w:p>
    <w:p w14:paraId="782F8BA1" w14:textId="77777777" w:rsidR="00A32C3F" w:rsidRPr="007E15EB" w:rsidRDefault="00A32C3F" w:rsidP="00A32C3F">
      <w:pPr>
        <w:numPr>
          <w:ilvl w:val="0"/>
          <w:numId w:val="2"/>
        </w:numPr>
        <w:rPr>
          <w:sz w:val="25"/>
          <w:szCs w:val="25"/>
        </w:rPr>
      </w:pPr>
      <w:r w:rsidRPr="007E15EB">
        <w:rPr>
          <w:sz w:val="25"/>
          <w:szCs w:val="25"/>
        </w:rPr>
        <w:t>в случае направления по почте – в момент непосредственного получения документа уполномоченным представителем этой Стороны, что фиксируется, в том числе, распиской в получении на уведомлении о вручении;</w:t>
      </w:r>
    </w:p>
    <w:p w14:paraId="530C86BD" w14:textId="77777777" w:rsidR="00A32C3F" w:rsidRPr="007E15EB" w:rsidRDefault="00A32C3F" w:rsidP="00A32C3F">
      <w:pPr>
        <w:numPr>
          <w:ilvl w:val="0"/>
          <w:numId w:val="2"/>
        </w:numPr>
        <w:rPr>
          <w:color w:val="000000" w:themeColor="text1"/>
          <w:sz w:val="25"/>
          <w:szCs w:val="25"/>
        </w:rPr>
      </w:pPr>
      <w:r w:rsidRPr="007E15EB">
        <w:rPr>
          <w:color w:val="000000" w:themeColor="text1"/>
          <w:sz w:val="25"/>
          <w:szCs w:val="25"/>
        </w:rPr>
        <w:t xml:space="preserve">в случае направления </w:t>
      </w:r>
      <w:proofErr w:type="spellStart"/>
      <w:r w:rsidRPr="007E15EB">
        <w:rPr>
          <w:color w:val="000000" w:themeColor="text1"/>
          <w:sz w:val="25"/>
          <w:szCs w:val="25"/>
        </w:rPr>
        <w:t>электронно</w:t>
      </w:r>
      <w:proofErr w:type="spellEnd"/>
      <w:r w:rsidRPr="007E15EB">
        <w:rPr>
          <w:color w:val="000000" w:themeColor="text1"/>
          <w:sz w:val="25"/>
          <w:szCs w:val="25"/>
        </w:rPr>
        <w:t xml:space="preserve"> – в момент получения Стороной электронного документа.</w:t>
      </w:r>
    </w:p>
    <w:bookmarkEnd w:id="12"/>
    <w:p w14:paraId="2299E631" w14:textId="2E39A36B" w:rsidR="00A32C3F" w:rsidRPr="007E15EB" w:rsidRDefault="00A32C3F" w:rsidP="00A32C3F">
      <w:pPr>
        <w:ind w:firstLine="360"/>
        <w:rPr>
          <w:sz w:val="25"/>
          <w:szCs w:val="25"/>
        </w:rPr>
      </w:pPr>
      <w:r w:rsidRPr="007E15EB">
        <w:rPr>
          <w:b/>
          <w:sz w:val="25"/>
          <w:szCs w:val="25"/>
        </w:rPr>
        <w:t>6.</w:t>
      </w:r>
      <w:r w:rsidR="00D91BBF">
        <w:rPr>
          <w:b/>
          <w:sz w:val="25"/>
          <w:szCs w:val="25"/>
        </w:rPr>
        <w:t>5</w:t>
      </w:r>
      <w:r w:rsidRPr="007E15EB">
        <w:rPr>
          <w:b/>
          <w:sz w:val="25"/>
          <w:szCs w:val="25"/>
        </w:rPr>
        <w:t>.</w:t>
      </w:r>
      <w:r w:rsidRPr="007E15EB">
        <w:rPr>
          <w:sz w:val="25"/>
          <w:szCs w:val="25"/>
        </w:rPr>
        <w:t xml:space="preserve"> Во всем остальном, что не предусмотрено условиями настоящего Соглашения, Стороны будут руководствоваться законодательством Российской Федерации.</w:t>
      </w:r>
    </w:p>
    <w:p w14:paraId="05209E00" w14:textId="32DB9786" w:rsidR="00A32C3F" w:rsidRPr="007E15EB" w:rsidRDefault="00A32C3F" w:rsidP="00A32C3F">
      <w:pPr>
        <w:ind w:firstLine="360"/>
        <w:rPr>
          <w:sz w:val="25"/>
          <w:szCs w:val="25"/>
          <w:lang w:bidi="ru-RU"/>
        </w:rPr>
      </w:pPr>
      <w:r w:rsidRPr="007E15EB">
        <w:rPr>
          <w:b/>
          <w:sz w:val="25"/>
          <w:szCs w:val="25"/>
          <w:lang w:bidi="ru-RU"/>
        </w:rPr>
        <w:t>6.</w:t>
      </w:r>
      <w:r w:rsidR="00D91BBF">
        <w:rPr>
          <w:b/>
          <w:sz w:val="25"/>
          <w:szCs w:val="25"/>
          <w:lang w:bidi="ru-RU"/>
        </w:rPr>
        <w:t>6</w:t>
      </w:r>
      <w:r w:rsidRPr="007E15EB">
        <w:rPr>
          <w:b/>
          <w:sz w:val="25"/>
          <w:szCs w:val="25"/>
          <w:lang w:bidi="ru-RU"/>
        </w:rPr>
        <w:t>.</w:t>
      </w:r>
      <w:r w:rsidRPr="007E15EB">
        <w:rPr>
          <w:sz w:val="25"/>
          <w:szCs w:val="25"/>
          <w:lang w:bidi="ru-RU"/>
        </w:rPr>
        <w:t xml:space="preserve"> Настоящее Соглашение составлено в двух экземплярах, по одному для каждой из Сторон.</w:t>
      </w:r>
    </w:p>
    <w:p w14:paraId="4F5A2251" w14:textId="376AE3A1" w:rsidR="00A32C3F" w:rsidRDefault="00A32C3F" w:rsidP="00A32C3F">
      <w:pPr>
        <w:jc w:val="center"/>
        <w:rPr>
          <w:bCs/>
        </w:rPr>
      </w:pPr>
      <w:r w:rsidRPr="001B44B8">
        <w:rPr>
          <w:bCs/>
        </w:rPr>
        <w:t>Реквизиты и подписи Сторон</w:t>
      </w:r>
      <w:r w:rsidR="001B44B8">
        <w:rPr>
          <w:bCs/>
        </w:rPr>
        <w:t>:</w:t>
      </w:r>
    </w:p>
    <w:p w14:paraId="6058CB7F" w14:textId="77777777" w:rsidR="001B44B8" w:rsidRPr="001B44B8" w:rsidRDefault="001B44B8" w:rsidP="00A32C3F">
      <w:pPr>
        <w:jc w:val="center"/>
        <w:rPr>
          <w:bCs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717"/>
      </w:tblGrid>
      <w:tr w:rsidR="00A32C3F" w14:paraId="039202EA" w14:textId="77777777" w:rsidTr="00601C03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5FBB" w14:textId="77777777" w:rsidR="00A32C3F" w:rsidRPr="007744D9" w:rsidRDefault="00A32C3F" w:rsidP="00601C03">
            <w:pPr>
              <w:rPr>
                <w:b/>
                <w:bCs/>
              </w:rPr>
            </w:pPr>
            <w:r w:rsidRPr="007744D9">
              <w:rPr>
                <w:b/>
                <w:bCs/>
              </w:rPr>
              <w:t>БАНК: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6EC2" w14:textId="68C74A54" w:rsidR="00A32C3F" w:rsidRPr="007744D9" w:rsidRDefault="00802684" w:rsidP="00601C03">
            <w:pPr>
              <w:rPr>
                <w:b/>
              </w:rPr>
            </w:pPr>
            <w:r>
              <w:rPr>
                <w:b/>
              </w:rPr>
              <w:t xml:space="preserve">Поручитель: </w:t>
            </w:r>
            <w:r w:rsidR="00A32C3F" w:rsidRPr="007744D9">
              <w:rPr>
                <w:b/>
              </w:rPr>
              <w:t xml:space="preserve">ФОНД: </w:t>
            </w:r>
          </w:p>
        </w:tc>
      </w:tr>
      <w:tr w:rsidR="00A32C3F" w:rsidRPr="00802684" w14:paraId="26C1EB6C" w14:textId="77777777" w:rsidTr="00601C03">
        <w:trPr>
          <w:trHeight w:val="30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7558" w14:textId="32D870C3" w:rsidR="00A32C3F" w:rsidRPr="00802684" w:rsidRDefault="00A32C3F" w:rsidP="00802684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4141" w14:textId="77777777" w:rsidR="00802684" w:rsidRPr="00802684" w:rsidRDefault="00802684" w:rsidP="004E71CB">
            <w:pPr>
              <w:pStyle w:val="af2"/>
              <w:jc w:val="left"/>
              <w:rPr>
                <w:rFonts w:ascii="Times New Roman" w:hAnsi="Times New Roman"/>
                <w:b/>
                <w:bCs/>
              </w:rPr>
            </w:pPr>
            <w:r w:rsidRPr="00802684">
              <w:rPr>
                <w:rFonts w:ascii="Times New Roman" w:hAnsi="Times New Roman"/>
                <w:b/>
                <w:bCs/>
              </w:rPr>
              <w:t>Фонд «Инвестиционное агентство Тюменской области»</w:t>
            </w:r>
          </w:p>
          <w:p w14:paraId="3370EDBD" w14:textId="5A41F5A5" w:rsidR="00802684" w:rsidRPr="00802684" w:rsidRDefault="00802684" w:rsidP="00DE048E">
            <w:pPr>
              <w:pStyle w:val="af2"/>
              <w:jc w:val="left"/>
              <w:rPr>
                <w:rFonts w:ascii="Times New Roman" w:hAnsi="Times New Roman"/>
              </w:rPr>
            </w:pPr>
            <w:r w:rsidRPr="00802684">
              <w:rPr>
                <w:rFonts w:ascii="Times New Roman" w:hAnsi="Times New Roman"/>
              </w:rPr>
              <w:t>Юридический</w:t>
            </w:r>
            <w:r w:rsidR="00DE048E">
              <w:rPr>
                <w:rFonts w:ascii="Times New Roman" w:hAnsi="Times New Roman"/>
              </w:rPr>
              <w:t>/почтовый</w:t>
            </w:r>
            <w:r w:rsidRPr="00802684">
              <w:rPr>
                <w:rFonts w:ascii="Times New Roman" w:hAnsi="Times New Roman"/>
              </w:rPr>
              <w:t xml:space="preserve"> адрес: 625000,</w:t>
            </w:r>
          </w:p>
          <w:p w14:paraId="0E5D2E5A" w14:textId="77777777" w:rsidR="00802684" w:rsidRPr="00802684" w:rsidRDefault="00802684" w:rsidP="00DE048E">
            <w:pPr>
              <w:pStyle w:val="af2"/>
              <w:jc w:val="left"/>
              <w:rPr>
                <w:rFonts w:ascii="Times New Roman" w:hAnsi="Times New Roman"/>
              </w:rPr>
            </w:pPr>
            <w:r w:rsidRPr="00802684">
              <w:rPr>
                <w:rFonts w:ascii="Times New Roman" w:hAnsi="Times New Roman"/>
              </w:rPr>
              <w:t>г. Тюмень, ул. Хохрякова, дом № 53</w:t>
            </w:r>
          </w:p>
          <w:p w14:paraId="27C7D923" w14:textId="77777777" w:rsidR="00802684" w:rsidRPr="00802684" w:rsidRDefault="00802684" w:rsidP="00DE048E">
            <w:pPr>
              <w:pStyle w:val="af2"/>
              <w:jc w:val="left"/>
              <w:rPr>
                <w:rFonts w:ascii="Times New Roman" w:hAnsi="Times New Roman"/>
              </w:rPr>
            </w:pPr>
            <w:r w:rsidRPr="00802684">
              <w:rPr>
                <w:rFonts w:ascii="Times New Roman" w:hAnsi="Times New Roman"/>
              </w:rPr>
              <w:t>тел/факс 8/3452/ 49-99-44</w:t>
            </w:r>
          </w:p>
          <w:p w14:paraId="49AEC872" w14:textId="2D6FACF8" w:rsidR="00802684" w:rsidRPr="00802684" w:rsidRDefault="00802684" w:rsidP="00DE048E">
            <w:pPr>
              <w:pStyle w:val="af2"/>
              <w:jc w:val="left"/>
              <w:rPr>
                <w:rFonts w:ascii="Times New Roman" w:hAnsi="Times New Roman"/>
              </w:rPr>
            </w:pPr>
            <w:r w:rsidRPr="00802684">
              <w:rPr>
                <w:rFonts w:ascii="Times New Roman" w:hAnsi="Times New Roman"/>
              </w:rPr>
              <w:t>ИНН 7202098425 КПП 720301001</w:t>
            </w:r>
          </w:p>
          <w:p w14:paraId="514C972D" w14:textId="77777777" w:rsidR="00802684" w:rsidRPr="00802684" w:rsidRDefault="00802684" w:rsidP="00DE048E">
            <w:pPr>
              <w:jc w:val="left"/>
              <w:rPr>
                <w:bCs/>
                <w:sz w:val="22"/>
                <w:szCs w:val="22"/>
              </w:rPr>
            </w:pPr>
            <w:r w:rsidRPr="00802684">
              <w:rPr>
                <w:bCs/>
                <w:sz w:val="22"/>
                <w:szCs w:val="22"/>
              </w:rPr>
              <w:t>р/</w:t>
            </w:r>
            <w:proofErr w:type="spellStart"/>
            <w:r w:rsidRPr="00802684">
              <w:rPr>
                <w:bCs/>
                <w:sz w:val="22"/>
                <w:szCs w:val="22"/>
              </w:rPr>
              <w:t>сч</w:t>
            </w:r>
            <w:proofErr w:type="spellEnd"/>
            <w:r w:rsidRPr="00802684">
              <w:rPr>
                <w:bCs/>
                <w:sz w:val="22"/>
                <w:szCs w:val="22"/>
              </w:rPr>
              <w:t xml:space="preserve"> 40703810495150000023</w:t>
            </w:r>
          </w:p>
          <w:p w14:paraId="6A723E9B" w14:textId="77777777" w:rsidR="00DE048E" w:rsidRDefault="00802684" w:rsidP="00DE048E">
            <w:pPr>
              <w:jc w:val="left"/>
              <w:rPr>
                <w:bCs/>
                <w:sz w:val="22"/>
                <w:szCs w:val="22"/>
              </w:rPr>
            </w:pPr>
            <w:r w:rsidRPr="00802684">
              <w:rPr>
                <w:bCs/>
                <w:sz w:val="22"/>
                <w:szCs w:val="22"/>
              </w:rPr>
              <w:t>Росбанк филиал Урал АО "</w:t>
            </w:r>
            <w:proofErr w:type="spellStart"/>
            <w:r w:rsidRPr="00802684">
              <w:rPr>
                <w:bCs/>
                <w:sz w:val="22"/>
                <w:szCs w:val="22"/>
              </w:rPr>
              <w:t>ТБанк</w:t>
            </w:r>
            <w:proofErr w:type="spellEnd"/>
            <w:r w:rsidRPr="00802684">
              <w:rPr>
                <w:bCs/>
                <w:sz w:val="22"/>
                <w:szCs w:val="22"/>
              </w:rPr>
              <w:t>"</w:t>
            </w:r>
          </w:p>
          <w:p w14:paraId="66DAE204" w14:textId="2ECDC66C" w:rsidR="00802684" w:rsidRPr="00802684" w:rsidRDefault="00802684" w:rsidP="00D7729F">
            <w:pPr>
              <w:jc w:val="left"/>
              <w:rPr>
                <w:bCs/>
                <w:sz w:val="22"/>
                <w:szCs w:val="22"/>
              </w:rPr>
            </w:pPr>
            <w:r w:rsidRPr="00802684">
              <w:rPr>
                <w:bCs/>
                <w:sz w:val="22"/>
                <w:szCs w:val="22"/>
              </w:rPr>
              <w:t>г. Екатеринбург</w:t>
            </w:r>
            <w:r w:rsidR="00D7729F">
              <w:rPr>
                <w:bCs/>
                <w:sz w:val="22"/>
                <w:szCs w:val="22"/>
              </w:rPr>
              <w:t xml:space="preserve"> </w:t>
            </w:r>
            <w:r w:rsidRPr="00802684">
              <w:rPr>
                <w:bCs/>
                <w:sz w:val="22"/>
                <w:szCs w:val="22"/>
              </w:rPr>
              <w:t>БИК 046577512</w:t>
            </w:r>
          </w:p>
          <w:p w14:paraId="761DA7AB" w14:textId="77777777" w:rsidR="00802684" w:rsidRPr="00802684" w:rsidRDefault="00802684" w:rsidP="00802684">
            <w:pPr>
              <w:rPr>
                <w:bCs/>
                <w:sz w:val="22"/>
                <w:szCs w:val="22"/>
              </w:rPr>
            </w:pPr>
            <w:r w:rsidRPr="00802684">
              <w:rPr>
                <w:bCs/>
                <w:sz w:val="22"/>
                <w:szCs w:val="22"/>
              </w:rPr>
              <w:t>к/с 30101810845376577512</w:t>
            </w:r>
          </w:p>
          <w:p w14:paraId="56E19299" w14:textId="77777777" w:rsidR="00A32C3F" w:rsidRPr="00802684" w:rsidRDefault="00A32C3F" w:rsidP="00601C03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A32C3F" w14:paraId="17B61396" w14:textId="77777777" w:rsidTr="00601C03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6107" w14:textId="77777777" w:rsidR="00A32C3F" w:rsidRPr="00C76C1A" w:rsidRDefault="00A32C3F" w:rsidP="00601C03">
            <w:pPr>
              <w:rPr>
                <w:b/>
                <w:bCs/>
                <w:sz w:val="22"/>
                <w:szCs w:val="22"/>
              </w:rPr>
            </w:pPr>
            <w:r w:rsidRPr="00C76C1A">
              <w:rPr>
                <w:b/>
                <w:bCs/>
                <w:sz w:val="22"/>
                <w:szCs w:val="22"/>
              </w:rPr>
              <w:t>БАНК:</w:t>
            </w:r>
          </w:p>
          <w:p w14:paraId="30A43EBB" w14:textId="77777777" w:rsidR="00A32C3F" w:rsidRPr="00C76C1A" w:rsidRDefault="00A32C3F" w:rsidP="00601C03">
            <w:pPr>
              <w:rPr>
                <w:b/>
                <w:bCs/>
                <w:sz w:val="22"/>
                <w:szCs w:val="22"/>
              </w:rPr>
            </w:pPr>
            <w:r w:rsidRPr="00C76C1A">
              <w:rPr>
                <w:b/>
                <w:bCs/>
                <w:sz w:val="22"/>
                <w:szCs w:val="22"/>
              </w:rPr>
              <w:t>___________________ (</w:t>
            </w: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76C1A">
              <w:rPr>
                <w:b/>
                <w:bCs/>
                <w:sz w:val="22"/>
                <w:szCs w:val="22"/>
              </w:rPr>
              <w:t>)</w:t>
            </w:r>
          </w:p>
          <w:p w14:paraId="28076912" w14:textId="77777777" w:rsidR="00A32C3F" w:rsidRPr="00C76C1A" w:rsidRDefault="00A32C3F" w:rsidP="00601C03">
            <w:pPr>
              <w:rPr>
                <w:b/>
                <w:bCs/>
                <w:sz w:val="22"/>
                <w:szCs w:val="22"/>
              </w:rPr>
            </w:pPr>
            <w:r w:rsidRPr="00C76C1A">
              <w:rPr>
                <w:b/>
                <w:bCs/>
                <w:sz w:val="22"/>
                <w:szCs w:val="22"/>
              </w:rPr>
              <w:t>М.П.</w:t>
            </w:r>
            <w:r w:rsidRPr="00C76C1A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8E9" w14:textId="77777777" w:rsidR="00A32C3F" w:rsidRPr="00C76C1A" w:rsidRDefault="00A32C3F" w:rsidP="00601C03">
            <w:pPr>
              <w:rPr>
                <w:b/>
                <w:sz w:val="22"/>
                <w:szCs w:val="22"/>
              </w:rPr>
            </w:pPr>
            <w:r w:rsidRPr="00C76C1A">
              <w:rPr>
                <w:b/>
                <w:sz w:val="22"/>
                <w:szCs w:val="22"/>
              </w:rPr>
              <w:t>ФОНД:</w:t>
            </w:r>
          </w:p>
          <w:p w14:paraId="7A9AD685" w14:textId="77777777" w:rsidR="00A32C3F" w:rsidRPr="00C76C1A" w:rsidRDefault="00A32C3F" w:rsidP="00601C03">
            <w:pPr>
              <w:rPr>
                <w:b/>
                <w:sz w:val="22"/>
                <w:szCs w:val="22"/>
              </w:rPr>
            </w:pPr>
            <w:r w:rsidRPr="00C76C1A">
              <w:rPr>
                <w:b/>
                <w:sz w:val="22"/>
                <w:szCs w:val="22"/>
              </w:rPr>
              <w:t>__________________ (_________________)</w:t>
            </w:r>
          </w:p>
          <w:p w14:paraId="2124B164" w14:textId="77777777" w:rsidR="00A32C3F" w:rsidRPr="00C76C1A" w:rsidRDefault="00A32C3F" w:rsidP="00601C03">
            <w:pPr>
              <w:rPr>
                <w:b/>
                <w:sz w:val="22"/>
                <w:szCs w:val="22"/>
              </w:rPr>
            </w:pPr>
            <w:r w:rsidRPr="00C76C1A">
              <w:rPr>
                <w:b/>
                <w:sz w:val="22"/>
                <w:szCs w:val="22"/>
              </w:rPr>
              <w:t>М.П.</w:t>
            </w:r>
            <w:r w:rsidRPr="00C76C1A">
              <w:rPr>
                <w:b/>
                <w:sz w:val="22"/>
                <w:szCs w:val="22"/>
              </w:rPr>
              <w:tab/>
            </w:r>
          </w:p>
        </w:tc>
      </w:tr>
    </w:tbl>
    <w:p w14:paraId="46889D58" w14:textId="77777777" w:rsidR="00152455" w:rsidRDefault="00152455"/>
    <w:p w14:paraId="4F00DFD5" w14:textId="77777777" w:rsidR="0038698D" w:rsidRDefault="0038698D"/>
    <w:p w14:paraId="6ED0EDE6" w14:textId="77777777" w:rsidR="0038698D" w:rsidRDefault="0038698D"/>
    <w:sectPr w:rsidR="0038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D04D3"/>
    <w:multiLevelType w:val="hybridMultilevel"/>
    <w:tmpl w:val="5F6E5282"/>
    <w:lvl w:ilvl="0" w:tplc="D868965C">
      <w:start w:val="1"/>
      <w:numFmt w:val="decimal"/>
      <w:lvlText w:val="%1)"/>
      <w:lvlJc w:val="left"/>
      <w:pPr>
        <w:ind w:left="720" w:hanging="360"/>
      </w:pPr>
    </w:lvl>
    <w:lvl w:ilvl="1" w:tplc="EE8E6F64" w:tentative="1">
      <w:start w:val="1"/>
      <w:numFmt w:val="lowerLetter"/>
      <w:lvlText w:val="%2."/>
      <w:lvlJc w:val="left"/>
      <w:pPr>
        <w:ind w:left="1440" w:hanging="360"/>
      </w:pPr>
    </w:lvl>
    <w:lvl w:ilvl="2" w:tplc="DC1A4AF8" w:tentative="1">
      <w:start w:val="1"/>
      <w:numFmt w:val="lowerRoman"/>
      <w:lvlText w:val="%3."/>
      <w:lvlJc w:val="right"/>
      <w:pPr>
        <w:ind w:left="2160" w:hanging="180"/>
      </w:pPr>
    </w:lvl>
    <w:lvl w:ilvl="3" w:tplc="61322714" w:tentative="1">
      <w:start w:val="1"/>
      <w:numFmt w:val="decimal"/>
      <w:lvlText w:val="%4."/>
      <w:lvlJc w:val="left"/>
      <w:pPr>
        <w:ind w:left="2880" w:hanging="360"/>
      </w:pPr>
    </w:lvl>
    <w:lvl w:ilvl="4" w:tplc="9272C52C" w:tentative="1">
      <w:start w:val="1"/>
      <w:numFmt w:val="lowerLetter"/>
      <w:lvlText w:val="%5."/>
      <w:lvlJc w:val="left"/>
      <w:pPr>
        <w:ind w:left="3600" w:hanging="360"/>
      </w:pPr>
    </w:lvl>
    <w:lvl w:ilvl="5" w:tplc="BCC2DDE0" w:tentative="1">
      <w:start w:val="1"/>
      <w:numFmt w:val="lowerRoman"/>
      <w:lvlText w:val="%6."/>
      <w:lvlJc w:val="right"/>
      <w:pPr>
        <w:ind w:left="4320" w:hanging="180"/>
      </w:pPr>
    </w:lvl>
    <w:lvl w:ilvl="6" w:tplc="990867B6" w:tentative="1">
      <w:start w:val="1"/>
      <w:numFmt w:val="decimal"/>
      <w:lvlText w:val="%7."/>
      <w:lvlJc w:val="left"/>
      <w:pPr>
        <w:ind w:left="5040" w:hanging="360"/>
      </w:pPr>
    </w:lvl>
    <w:lvl w:ilvl="7" w:tplc="259ACDAC" w:tentative="1">
      <w:start w:val="1"/>
      <w:numFmt w:val="lowerLetter"/>
      <w:lvlText w:val="%8."/>
      <w:lvlJc w:val="left"/>
      <w:pPr>
        <w:ind w:left="5760" w:hanging="360"/>
      </w:pPr>
    </w:lvl>
    <w:lvl w:ilvl="8" w:tplc="E85CC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01102"/>
    <w:multiLevelType w:val="hybridMultilevel"/>
    <w:tmpl w:val="7624C59C"/>
    <w:lvl w:ilvl="0" w:tplc="683AF80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683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E48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27F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E2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08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4C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279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B09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99695">
    <w:abstractNumId w:val="1"/>
  </w:num>
  <w:num w:numId="2" w16cid:durableId="84516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3F"/>
    <w:rsid w:val="0001321F"/>
    <w:rsid w:val="00091537"/>
    <w:rsid w:val="000A008C"/>
    <w:rsid w:val="00152455"/>
    <w:rsid w:val="001B44B8"/>
    <w:rsid w:val="002138BA"/>
    <w:rsid w:val="0038698D"/>
    <w:rsid w:val="00431D68"/>
    <w:rsid w:val="004E71CB"/>
    <w:rsid w:val="00573141"/>
    <w:rsid w:val="00593D47"/>
    <w:rsid w:val="006443B4"/>
    <w:rsid w:val="006A7DBE"/>
    <w:rsid w:val="007E1165"/>
    <w:rsid w:val="00802684"/>
    <w:rsid w:val="00940E45"/>
    <w:rsid w:val="00A32C3F"/>
    <w:rsid w:val="00A34131"/>
    <w:rsid w:val="00C566B9"/>
    <w:rsid w:val="00C73FF9"/>
    <w:rsid w:val="00D11B2B"/>
    <w:rsid w:val="00D7729F"/>
    <w:rsid w:val="00D91BBF"/>
    <w:rsid w:val="00DB797A"/>
    <w:rsid w:val="00DE048E"/>
    <w:rsid w:val="00E332AE"/>
    <w:rsid w:val="00EC1E98"/>
    <w:rsid w:val="00F0135E"/>
    <w:rsid w:val="00F5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CEBC"/>
  <w15:chartTrackingRefBased/>
  <w15:docId w15:val="{773697EB-32A6-4B5D-9691-3EEAD72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C3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2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C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C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C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C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C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C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C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C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C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C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2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C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C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C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C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2C3F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unhideWhenUsed/>
    <w:rsid w:val="00A32C3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32C3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32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2C3F"/>
    <w:pPr>
      <w:tabs>
        <w:tab w:val="right" w:leader="dot" w:pos="9344"/>
      </w:tabs>
      <w:spacing w:after="240"/>
    </w:pPr>
  </w:style>
  <w:style w:type="character" w:styleId="af">
    <w:name w:val="Hyperlink"/>
    <w:basedOn w:val="a0"/>
    <w:uiPriority w:val="99"/>
    <w:unhideWhenUsed/>
    <w:rsid w:val="00A32C3F"/>
    <w:rPr>
      <w:color w:val="0563C1" w:themeColor="hyperlink"/>
      <w:u w:val="single"/>
    </w:rPr>
  </w:style>
  <w:style w:type="character" w:styleId="af0">
    <w:name w:val="Strong"/>
    <w:basedOn w:val="a0"/>
    <w:uiPriority w:val="22"/>
    <w:qFormat/>
    <w:rsid w:val="00A32C3F"/>
    <w:rPr>
      <w:b/>
      <w:bCs/>
    </w:rPr>
  </w:style>
  <w:style w:type="character" w:customStyle="1" w:styleId="af1">
    <w:name w:val="Без интервала Знак"/>
    <w:link w:val="af2"/>
    <w:uiPriority w:val="1"/>
    <w:locked/>
    <w:rsid w:val="00802684"/>
    <w:rPr>
      <w:rFonts w:ascii="Calibri" w:eastAsia="Calibri" w:hAnsi="Calibri" w:cs="Times New Roman"/>
    </w:rPr>
  </w:style>
  <w:style w:type="paragraph" w:styleId="af2">
    <w:name w:val="No Spacing"/>
    <w:link w:val="af1"/>
    <w:uiPriority w:val="1"/>
    <w:qFormat/>
    <w:rsid w:val="0080268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38698D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3869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57314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731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1645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Татьяна Николаевна</dc:creator>
  <cp:keywords/>
  <dc:description/>
  <cp:lastModifiedBy>Романова Татьяна Николаевна</cp:lastModifiedBy>
  <cp:revision>2</cp:revision>
  <dcterms:created xsi:type="dcterms:W3CDTF">2025-10-27T11:30:00Z</dcterms:created>
  <dcterms:modified xsi:type="dcterms:W3CDTF">2025-10-27T11:30:00Z</dcterms:modified>
</cp:coreProperties>
</file>